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74A7A" w14:textId="78AB2958" w:rsidR="0006114E" w:rsidRDefault="00B51397" w:rsidP="00FF19D1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 Light" w:hAnsi="Calibri Light"/>
          <w:b/>
          <w:smallCaps/>
          <w:color w:val="FF0000"/>
          <w:sz w:val="32"/>
          <w:szCs w:val="32"/>
        </w:rPr>
      </w:pPr>
      <w:r w:rsidRPr="00B51397">
        <w:rPr>
          <w:rFonts w:ascii="Calibri Light" w:hAnsi="Calibri Light"/>
          <w:b/>
          <w:smallCaps/>
          <w:color w:val="FF0000"/>
          <w:sz w:val="32"/>
          <w:szCs w:val="32"/>
        </w:rPr>
        <w:t>2</w:t>
      </w:r>
      <w:r>
        <w:rPr>
          <w:rFonts w:ascii="Calibri Light" w:hAnsi="Calibri Light"/>
          <w:b/>
          <w:smallCaps/>
          <w:color w:val="FF0000"/>
          <w:sz w:val="32"/>
          <w:szCs w:val="32"/>
        </w:rPr>
        <w:t xml:space="preserve">4Max </w:t>
      </w:r>
      <w:r w:rsidRPr="00B51397">
        <w:rPr>
          <w:rFonts w:ascii="Calibri Light" w:hAnsi="Calibri Light"/>
          <w:b/>
          <w:smallCaps/>
          <w:color w:val="FF0000"/>
          <w:sz w:val="32"/>
          <w:szCs w:val="32"/>
        </w:rPr>
        <w:t xml:space="preserve">rilascia il </w:t>
      </w:r>
      <w:r>
        <w:rPr>
          <w:rFonts w:ascii="Calibri Light" w:hAnsi="Calibri Light"/>
          <w:b/>
          <w:smallCaps/>
          <w:color w:val="FF0000"/>
          <w:sz w:val="32"/>
          <w:szCs w:val="32"/>
        </w:rPr>
        <w:t>C</w:t>
      </w:r>
      <w:r w:rsidRPr="00B51397">
        <w:rPr>
          <w:rFonts w:ascii="Calibri Light" w:hAnsi="Calibri Light"/>
          <w:b/>
          <w:smallCaps/>
          <w:color w:val="FF0000"/>
          <w:sz w:val="32"/>
          <w:szCs w:val="32"/>
        </w:rPr>
        <w:t xml:space="preserve">redit </w:t>
      </w:r>
      <w:r>
        <w:rPr>
          <w:rFonts w:ascii="Calibri Light" w:hAnsi="Calibri Light"/>
          <w:b/>
          <w:smallCaps/>
          <w:color w:val="FF0000"/>
          <w:sz w:val="32"/>
          <w:szCs w:val="32"/>
        </w:rPr>
        <w:t>R</w:t>
      </w:r>
      <w:r w:rsidRPr="00B51397">
        <w:rPr>
          <w:rFonts w:ascii="Calibri Light" w:hAnsi="Calibri Light"/>
          <w:b/>
          <w:smallCaps/>
          <w:color w:val="FF0000"/>
          <w:sz w:val="32"/>
          <w:szCs w:val="32"/>
        </w:rPr>
        <w:t xml:space="preserve">eport del </w:t>
      </w:r>
      <w:r>
        <w:rPr>
          <w:rFonts w:ascii="Calibri Light" w:hAnsi="Calibri Light"/>
          <w:b/>
          <w:smallCaps/>
          <w:color w:val="FF0000"/>
          <w:sz w:val="32"/>
          <w:szCs w:val="32"/>
        </w:rPr>
        <w:t>P</w:t>
      </w:r>
      <w:r w:rsidRPr="00B51397">
        <w:rPr>
          <w:rFonts w:ascii="Calibri Light" w:hAnsi="Calibri Light"/>
          <w:b/>
          <w:smallCaps/>
          <w:color w:val="FF0000"/>
          <w:sz w:val="32"/>
          <w:szCs w:val="32"/>
        </w:rPr>
        <w:t xml:space="preserve">rimo </w:t>
      </w:r>
      <w:r>
        <w:rPr>
          <w:rFonts w:ascii="Calibri Light" w:hAnsi="Calibri Light"/>
          <w:b/>
          <w:smallCaps/>
          <w:color w:val="FF0000"/>
          <w:sz w:val="32"/>
          <w:szCs w:val="32"/>
        </w:rPr>
        <w:t>T</w:t>
      </w:r>
      <w:r w:rsidRPr="00B51397">
        <w:rPr>
          <w:rFonts w:ascii="Calibri Light" w:hAnsi="Calibri Light"/>
          <w:b/>
          <w:smallCaps/>
          <w:color w:val="FF0000"/>
          <w:sz w:val="32"/>
          <w:szCs w:val="32"/>
        </w:rPr>
        <w:t>rimestre 2021</w:t>
      </w:r>
    </w:p>
    <w:p w14:paraId="0A837C4E" w14:textId="2BB6C27F" w:rsidR="005B1E8C" w:rsidRPr="00E747DC" w:rsidRDefault="00102B36" w:rsidP="00372A53">
      <w:pPr>
        <w:jc w:val="center"/>
        <w:rPr>
          <w:rFonts w:asciiTheme="majorHAnsi" w:hAnsiTheme="majorHAnsi"/>
          <w:b/>
          <w:i/>
          <w:iCs/>
          <w:sz w:val="28"/>
          <w:szCs w:val="28"/>
        </w:rPr>
      </w:pPr>
      <w:r>
        <w:rPr>
          <w:rFonts w:asciiTheme="majorHAnsi" w:hAnsiTheme="majorHAnsi"/>
          <w:b/>
          <w:i/>
          <w:iCs/>
          <w:sz w:val="28"/>
          <w:szCs w:val="28"/>
        </w:rPr>
        <w:t>10</w:t>
      </w:r>
      <w:r w:rsidR="00AE4D70">
        <w:rPr>
          <w:rFonts w:asciiTheme="majorHAnsi" w:hAnsiTheme="majorHAnsi"/>
          <w:b/>
          <w:i/>
          <w:iCs/>
          <w:sz w:val="28"/>
          <w:szCs w:val="28"/>
        </w:rPr>
        <w:t xml:space="preserve"> maggio</w:t>
      </w:r>
      <w:r w:rsidR="00D93F78" w:rsidRPr="00E747DC">
        <w:rPr>
          <w:rFonts w:asciiTheme="majorHAnsi" w:hAnsiTheme="majorHAnsi"/>
          <w:b/>
          <w:i/>
          <w:iCs/>
          <w:sz w:val="28"/>
          <w:szCs w:val="28"/>
        </w:rPr>
        <w:t xml:space="preserve"> 2021</w:t>
      </w:r>
    </w:p>
    <w:p w14:paraId="27718A9E" w14:textId="4BCBEDC6" w:rsidR="006E21E2" w:rsidRDefault="006E21E2" w:rsidP="006E21E2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</w:p>
    <w:p w14:paraId="33C75A2C" w14:textId="4D9C3791" w:rsidR="006E21E2" w:rsidRDefault="00672E5B" w:rsidP="006E21E2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  <w:hyperlink r:id="rId7" w:history="1">
        <w:r w:rsidR="006E21E2" w:rsidRPr="00372A53">
          <w:rPr>
            <w:rStyle w:val="Collegamentoipertestuale"/>
            <w:rFonts w:asciiTheme="majorHAnsi" w:eastAsia="Times New Roman" w:hAnsiTheme="majorHAnsi" w:cstheme="majorHAnsi"/>
            <w:b/>
            <w:bCs/>
          </w:rPr>
          <w:t>24MAX,</w:t>
        </w:r>
      </w:hyperlink>
      <w:r w:rsidR="006E21E2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società di mediazione creditizia del Gruppo </w:t>
      </w:r>
      <w:hyperlink r:id="rId8" w:history="1">
        <w:r w:rsidR="006E21E2" w:rsidRPr="00167998">
          <w:rPr>
            <w:rStyle w:val="Collegamentoipertestuale"/>
            <w:rFonts w:asciiTheme="majorHAnsi" w:eastAsia="Times New Roman" w:hAnsiTheme="majorHAnsi" w:cstheme="majorHAnsi"/>
            <w:b/>
            <w:bCs/>
          </w:rPr>
          <w:t>RE/MAX</w:t>
        </w:r>
      </w:hyperlink>
      <w:r w:rsidR="006E21E2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, ha rilasciato i dati del primo Credit Report trimestrale 2021. Nel </w:t>
      </w:r>
      <w:r w:rsidR="00372A53">
        <w:rPr>
          <w:rFonts w:asciiTheme="majorHAnsi" w:eastAsia="Times New Roman" w:hAnsiTheme="majorHAnsi" w:cstheme="majorHAnsi"/>
          <w:b/>
          <w:bCs/>
          <w:color w:val="000000" w:themeColor="text1"/>
        </w:rPr>
        <w:t>R</w:t>
      </w:r>
      <w:r w:rsidR="006E21E2">
        <w:rPr>
          <w:rFonts w:asciiTheme="majorHAnsi" w:eastAsia="Times New Roman" w:hAnsiTheme="majorHAnsi" w:cstheme="majorHAnsi"/>
          <w:b/>
          <w:bCs/>
          <w:color w:val="000000" w:themeColor="text1"/>
        </w:rPr>
        <w:t>eport vengono analizzati gli andamenti del mercato messi a confronto con i dati</w:t>
      </w:r>
      <w:r w:rsidR="00E747DC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</w:t>
      </w:r>
      <w:r w:rsidR="00372A53">
        <w:rPr>
          <w:rFonts w:asciiTheme="majorHAnsi" w:eastAsia="Times New Roman" w:hAnsiTheme="majorHAnsi" w:cstheme="majorHAnsi"/>
          <w:b/>
          <w:bCs/>
          <w:color w:val="000000" w:themeColor="text1"/>
        </w:rPr>
        <w:t>registrati</w:t>
      </w:r>
      <w:r w:rsidR="006E21E2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</w:t>
      </w:r>
      <w:r w:rsidR="00950D9B">
        <w:rPr>
          <w:rFonts w:asciiTheme="majorHAnsi" w:eastAsia="Times New Roman" w:hAnsiTheme="majorHAnsi" w:cstheme="majorHAnsi"/>
          <w:b/>
          <w:bCs/>
          <w:color w:val="000000" w:themeColor="text1"/>
        </w:rPr>
        <w:t>dall’Ufficio</w:t>
      </w:r>
      <w:r w:rsidR="00E747DC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Studi di</w:t>
      </w:r>
      <w:r w:rsidR="006E21E2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24MAX sulla base del transato reale. All’analisi quantitativa viene associata un’analisi qualitativa con l’identikit sociodemografico di chi richiede un mutuo. </w:t>
      </w:r>
    </w:p>
    <w:p w14:paraId="3A673043" w14:textId="77777777" w:rsidR="006E21E2" w:rsidRDefault="006E21E2" w:rsidP="006E21E2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</w:p>
    <w:p w14:paraId="49DFA0D8" w14:textId="77777777" w:rsidR="006E21E2" w:rsidRPr="00B51397" w:rsidRDefault="006E21E2" w:rsidP="006E21E2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B51397">
        <w:rPr>
          <w:rFonts w:asciiTheme="majorHAnsi" w:eastAsia="Times New Roman" w:hAnsiTheme="majorHAnsi" w:cstheme="majorHAnsi"/>
          <w:b/>
          <w:bCs/>
          <w:color w:val="FF0000"/>
        </w:rPr>
        <w:t xml:space="preserve">ANDAMENTO MERCATO CREDITIZIO: FINE 2020, INIZIO 2021 E PREVISIONI </w:t>
      </w:r>
    </w:p>
    <w:p w14:paraId="232A6952" w14:textId="76CB5CC6" w:rsidR="006E21E2" w:rsidRPr="00AB4739" w:rsidRDefault="006E21E2" w:rsidP="006E21E2">
      <w:pPr>
        <w:spacing w:after="0" w:line="276" w:lineRule="auto"/>
        <w:jc w:val="both"/>
        <w:rPr>
          <w:strike/>
        </w:rPr>
      </w:pPr>
      <w:r w:rsidRPr="006E21E2">
        <w:rPr>
          <w:rFonts w:asciiTheme="majorHAnsi" w:eastAsia="Times New Roman" w:hAnsiTheme="majorHAnsi" w:cstheme="majorHAnsi"/>
          <w:b/>
          <w:bCs/>
          <w:color w:val="000000" w:themeColor="text1"/>
        </w:rPr>
        <w:t>Il mondo del credito nel 2020 ha mantenuto gli stessi volumi del 2019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. Un risultato che </w:t>
      </w:r>
      <w:r w:rsidRPr="00AB4739">
        <w:rPr>
          <w:rFonts w:asciiTheme="majorHAnsi" w:hAnsiTheme="majorHAnsi"/>
          <w:bCs/>
        </w:rPr>
        <w:t xml:space="preserve">gli esperti attribuiscono </w:t>
      </w:r>
      <w:r>
        <w:rPr>
          <w:rFonts w:asciiTheme="majorHAnsi" w:hAnsiTheme="majorHAnsi"/>
          <w:bCs/>
        </w:rPr>
        <w:t xml:space="preserve">prevalentemente alla </w:t>
      </w:r>
      <w:r w:rsidRPr="00372A53">
        <w:rPr>
          <w:rFonts w:asciiTheme="majorHAnsi" w:hAnsiTheme="majorHAnsi"/>
          <w:b/>
        </w:rPr>
        <w:t>crescita delle operazioni di surroga e sostituzione</w:t>
      </w:r>
      <w:r w:rsidRPr="00AB4739">
        <w:rPr>
          <w:rFonts w:asciiTheme="majorHAnsi" w:hAnsiTheme="majorHAnsi"/>
          <w:bCs/>
        </w:rPr>
        <w:t>.</w:t>
      </w:r>
      <w:r w:rsidRPr="00AB4739">
        <w:rPr>
          <w:rFonts w:asciiTheme="majorHAnsi" w:eastAsia="Times New Roman" w:hAnsiTheme="majorHAnsi" w:cstheme="majorHAnsi"/>
          <w:color w:val="000000" w:themeColor="text1"/>
        </w:rPr>
        <w:t xml:space="preserve"> </w:t>
      </w:r>
    </w:p>
    <w:p w14:paraId="6BA71B14" w14:textId="513F9BEB" w:rsidR="006E21E2" w:rsidRDefault="006E21E2" w:rsidP="006E21E2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372A53">
        <w:rPr>
          <w:rFonts w:asciiTheme="majorHAnsi" w:eastAsia="Times New Roman" w:hAnsiTheme="majorHAnsi" w:cstheme="majorHAnsi"/>
          <w:b/>
          <w:bCs/>
          <w:color w:val="000000" w:themeColor="text1"/>
        </w:rPr>
        <w:t>Nei primi mesi del 2021 il settore creditizio continua a vivere un momento di liquidità</w:t>
      </w:r>
      <w:r w:rsidRPr="00AB4739">
        <w:rPr>
          <w:rFonts w:asciiTheme="majorHAnsi" w:eastAsia="Times New Roman" w:hAnsiTheme="majorHAnsi" w:cstheme="majorHAnsi"/>
          <w:color w:val="000000" w:themeColor="text1"/>
        </w:rPr>
        <w:t>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B51397">
        <w:rPr>
          <w:rFonts w:asciiTheme="majorHAnsi" w:eastAsia="Times New Roman" w:hAnsiTheme="majorHAnsi" w:cstheme="majorHAnsi"/>
          <w:color w:val="000000" w:themeColor="text1"/>
        </w:rPr>
        <w:t>Lo</w:t>
      </w:r>
      <w:r w:rsidRPr="0017302F">
        <w:rPr>
          <w:rFonts w:asciiTheme="majorHAnsi" w:eastAsia="Times New Roman" w:hAnsiTheme="majorHAnsi" w:cstheme="majorHAnsi"/>
          <w:color w:val="000000" w:themeColor="text1"/>
        </w:rPr>
        <w:t xml:space="preserve"> scenario restituisce un andamento dei flussi dei mutui erogati lievemente negativo (-1,5%), sostenuto prevalentemente dai nuovi mutui (+5%), a fronte di un significativo calo di surroghe e sostituzioni (-31%)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 w:rsidR="00AE3593">
        <w:rPr>
          <w:rFonts w:asciiTheme="majorHAnsi" w:eastAsia="Times New Roman" w:hAnsiTheme="majorHAnsi" w:cstheme="majorHAnsi"/>
          <w:color w:val="000000" w:themeColor="text1"/>
        </w:rPr>
        <w:t>“</w:t>
      </w:r>
      <w:r w:rsidR="00AE3593" w:rsidRPr="00AE3593">
        <w:rPr>
          <w:rFonts w:asciiTheme="majorHAnsi" w:eastAsia="Times New Roman" w:hAnsiTheme="majorHAnsi" w:cstheme="majorHAnsi"/>
          <w:i/>
          <w:iCs/>
          <w:color w:val="000000" w:themeColor="text1"/>
        </w:rPr>
        <w:t>Fare previsioni risulta complesso, soprattutto in un momento di incertezza come quello attuale; tuttavia, per quanto riguarda il credito, si prevede un perdurare del momento di liquidità e quindi la disponibilità degli istituti bancari a finanziare il settore immobiliare</w:t>
      </w:r>
      <w:r w:rsidR="00AE3593">
        <w:rPr>
          <w:rFonts w:asciiTheme="majorHAnsi" w:eastAsia="Times New Roman" w:hAnsiTheme="majorHAnsi" w:cstheme="majorHAnsi"/>
          <w:color w:val="000000" w:themeColor="text1"/>
        </w:rPr>
        <w:t xml:space="preserve">”, commenta </w:t>
      </w:r>
      <w:r w:rsidR="00AE3593"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Riccardo Bernard</w:t>
      </w:r>
      <w:r w:rsidR="00B51397"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i</w:t>
      </w:r>
      <w:r w:rsidR="00B51397" w:rsidRPr="000D4E09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, </w:t>
      </w:r>
      <w:proofErr w:type="spellStart"/>
      <w:r w:rsidR="00B51397" w:rsidRPr="000D4E09">
        <w:rPr>
          <w:rFonts w:asciiTheme="majorHAnsi" w:hAnsiTheme="majorHAnsi"/>
          <w:b/>
          <w:bCs/>
        </w:rPr>
        <w:t>Chief</w:t>
      </w:r>
      <w:proofErr w:type="spellEnd"/>
      <w:r w:rsidR="00B51397" w:rsidRPr="000D4E09">
        <w:rPr>
          <w:rFonts w:asciiTheme="majorHAnsi" w:hAnsiTheme="majorHAnsi"/>
          <w:b/>
          <w:bCs/>
        </w:rPr>
        <w:t xml:space="preserve"> Development </w:t>
      </w:r>
      <w:proofErr w:type="spellStart"/>
      <w:r w:rsidR="00B51397" w:rsidRPr="000D4E09">
        <w:rPr>
          <w:rFonts w:asciiTheme="majorHAnsi" w:hAnsiTheme="majorHAnsi"/>
          <w:b/>
          <w:bCs/>
        </w:rPr>
        <w:t>Officer</w:t>
      </w:r>
      <w:proofErr w:type="spellEnd"/>
      <w:r w:rsidR="00B51397" w:rsidRPr="000D4E09">
        <w:rPr>
          <w:rFonts w:asciiTheme="majorHAnsi" w:hAnsiTheme="majorHAnsi"/>
          <w:b/>
          <w:bCs/>
        </w:rPr>
        <w:t xml:space="preserve"> </w:t>
      </w:r>
      <w:r w:rsidR="00B51397" w:rsidRPr="000D4E09">
        <w:rPr>
          <w:rFonts w:asciiTheme="majorHAnsi" w:eastAsia="Times New Roman" w:hAnsiTheme="majorHAnsi" w:cstheme="majorHAnsi"/>
          <w:b/>
          <w:bCs/>
          <w:color w:val="000000" w:themeColor="text1"/>
        </w:rPr>
        <w:t>di 24MAX</w:t>
      </w:r>
      <w:r w:rsidR="00AE3593" w:rsidRPr="00AB4739">
        <w:rPr>
          <w:rFonts w:asciiTheme="majorHAnsi" w:eastAsia="Times New Roman" w:hAnsiTheme="majorHAnsi" w:cstheme="majorHAnsi"/>
          <w:color w:val="000000" w:themeColor="text1"/>
        </w:rPr>
        <w:t>.</w:t>
      </w:r>
    </w:p>
    <w:p w14:paraId="07B0421F" w14:textId="77777777" w:rsidR="00AE3593" w:rsidRDefault="00AE3593" w:rsidP="006E21E2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6BF1D809" w14:textId="7AB846DD" w:rsidR="005B1E8C" w:rsidRPr="00B51397" w:rsidRDefault="005B1E8C" w:rsidP="004477BF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B51397">
        <w:rPr>
          <w:rFonts w:asciiTheme="majorHAnsi" w:eastAsia="Times New Roman" w:hAnsiTheme="majorHAnsi" w:cstheme="majorHAnsi"/>
          <w:b/>
          <w:bCs/>
          <w:color w:val="FF0000"/>
        </w:rPr>
        <w:t xml:space="preserve">SCENARIO ECONOMICO GENERALE </w:t>
      </w:r>
    </w:p>
    <w:p w14:paraId="312EC787" w14:textId="60EC16EE" w:rsidR="00E747DC" w:rsidRPr="00AB4739" w:rsidRDefault="00056854" w:rsidP="00E747DC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hAnsiTheme="majorHAnsi" w:cstheme="majorHAnsi"/>
        </w:rPr>
        <w:t>P</w:t>
      </w:r>
      <w:r w:rsidR="005B1E8C" w:rsidRPr="0017302F">
        <w:rPr>
          <w:rFonts w:asciiTheme="majorHAnsi" w:hAnsiTheme="majorHAnsi" w:cstheme="majorHAnsi"/>
        </w:rPr>
        <w:t xml:space="preserve">iano vaccinale, Recovery Plan, Superbonus e Ecobonus fanno prevedere una </w:t>
      </w:r>
      <w:r w:rsidR="005B1E8C" w:rsidRPr="006E21E2">
        <w:rPr>
          <w:rFonts w:asciiTheme="majorHAnsi" w:hAnsiTheme="majorHAnsi" w:cstheme="majorHAnsi"/>
        </w:rPr>
        <w:t>ripresa economica già dall’anno in corso</w:t>
      </w:r>
      <w:r w:rsidR="005B1E8C" w:rsidRPr="0017302F">
        <w:rPr>
          <w:rFonts w:asciiTheme="majorHAnsi" w:hAnsiTheme="majorHAnsi" w:cstheme="majorHAnsi"/>
        </w:rPr>
        <w:t xml:space="preserve">, con una </w:t>
      </w:r>
      <w:r w:rsidR="005B1E8C" w:rsidRPr="006E21E2">
        <w:rPr>
          <w:rFonts w:asciiTheme="majorHAnsi" w:hAnsiTheme="majorHAnsi" w:cstheme="majorHAnsi"/>
          <w:b/>
          <w:bCs/>
        </w:rPr>
        <w:t>ripartenza dei consumi e degli investimenti</w:t>
      </w:r>
      <w:r w:rsidR="005B1E8C" w:rsidRPr="0017302F">
        <w:rPr>
          <w:rFonts w:asciiTheme="majorHAnsi" w:hAnsiTheme="majorHAnsi" w:cstheme="majorHAnsi"/>
        </w:rPr>
        <w:t>. Si stima dunque che</w:t>
      </w:r>
      <w:r w:rsidR="006E21E2" w:rsidRPr="0017302F">
        <w:rPr>
          <w:rFonts w:asciiTheme="majorHAnsi" w:hAnsiTheme="majorHAnsi" w:cstheme="majorHAnsi"/>
        </w:rPr>
        <w:t xml:space="preserve">, nel corso del 2021, </w:t>
      </w:r>
      <w:r w:rsidR="005B1E8C" w:rsidRPr="0017302F">
        <w:rPr>
          <w:rFonts w:asciiTheme="majorHAnsi" w:hAnsiTheme="majorHAnsi" w:cstheme="majorHAnsi"/>
        </w:rPr>
        <w:t>il mercato immobiliare italiano continuerà ad attrarre investitori, anche internazionali</w:t>
      </w:r>
      <w:r w:rsidR="006E21E2">
        <w:rPr>
          <w:rFonts w:asciiTheme="majorHAnsi" w:hAnsiTheme="majorHAnsi" w:cstheme="majorHAnsi"/>
        </w:rPr>
        <w:t xml:space="preserve">, </w:t>
      </w:r>
      <w:r w:rsidR="005B1E8C" w:rsidRPr="0017302F">
        <w:rPr>
          <w:rFonts w:asciiTheme="majorHAnsi" w:hAnsiTheme="majorHAnsi" w:cstheme="majorHAnsi"/>
        </w:rPr>
        <w:t>alla ricerca di immobili caratterizzati da qualità del costruito, elevati livelli di comfort ed efficienza energetica</w:t>
      </w:r>
      <w:r w:rsidR="00B51397">
        <w:rPr>
          <w:rFonts w:asciiTheme="majorHAnsi" w:hAnsiTheme="majorHAnsi" w:cstheme="majorHAnsi"/>
        </w:rPr>
        <w:t xml:space="preserve"> (</w:t>
      </w:r>
      <w:r w:rsidR="00B51397" w:rsidRPr="005D42A6">
        <w:rPr>
          <w:rFonts w:asciiTheme="majorHAnsi" w:hAnsiTheme="majorHAnsi" w:cstheme="majorHAnsi"/>
          <w:i/>
          <w:iCs/>
        </w:rPr>
        <w:t>f</w:t>
      </w:r>
      <w:r w:rsidR="00B51397" w:rsidRPr="00B51397">
        <w:rPr>
          <w:rFonts w:asciiTheme="majorHAnsi" w:hAnsiTheme="majorHAnsi" w:cstheme="majorHAnsi"/>
          <w:i/>
          <w:iCs/>
        </w:rPr>
        <w:t>onte: Real Estate DATA HUB di RE/MAX Italia</w:t>
      </w:r>
      <w:r w:rsidR="00B51397">
        <w:rPr>
          <w:rFonts w:asciiTheme="majorHAnsi" w:hAnsiTheme="majorHAnsi" w:cstheme="majorHAnsi"/>
        </w:rPr>
        <w:t>)</w:t>
      </w:r>
      <w:r w:rsidR="005B1E8C" w:rsidRPr="0017302F">
        <w:rPr>
          <w:rFonts w:asciiTheme="majorHAnsi" w:hAnsiTheme="majorHAnsi" w:cstheme="majorHAnsi"/>
        </w:rPr>
        <w:t>.</w:t>
      </w:r>
      <w:r w:rsidR="0017302F" w:rsidRPr="0017302F">
        <w:rPr>
          <w:rFonts w:asciiTheme="majorHAnsi" w:hAnsiTheme="majorHAnsi" w:cstheme="majorHAnsi"/>
        </w:rPr>
        <w:t xml:space="preserve"> </w:t>
      </w:r>
      <w:r w:rsidR="005B1E8C" w:rsidRPr="0017302F">
        <w:rPr>
          <w:rFonts w:asciiTheme="majorHAnsi" w:hAnsiTheme="majorHAnsi"/>
          <w:bCs/>
        </w:rPr>
        <w:t>Anche la nascita del nuovo Governo e il conseguente calo dello spread hanno contribuito a</w:t>
      </w:r>
      <w:r w:rsidR="00B51397">
        <w:rPr>
          <w:rFonts w:asciiTheme="majorHAnsi" w:hAnsiTheme="majorHAnsi"/>
          <w:bCs/>
        </w:rPr>
        <w:t>d alimentare</w:t>
      </w:r>
      <w:r w:rsidR="005B1E8C" w:rsidRPr="0017302F">
        <w:rPr>
          <w:rFonts w:asciiTheme="majorHAnsi" w:hAnsiTheme="majorHAnsi"/>
          <w:bCs/>
        </w:rPr>
        <w:t xml:space="preserve"> un </w:t>
      </w:r>
      <w:r w:rsidR="005B1E8C" w:rsidRPr="00B51397">
        <w:rPr>
          <w:rFonts w:asciiTheme="majorHAnsi" w:hAnsiTheme="majorHAnsi"/>
          <w:b/>
        </w:rPr>
        <w:t>clim</w:t>
      </w:r>
      <w:r w:rsidR="005B1E8C" w:rsidRPr="006E21E2">
        <w:rPr>
          <w:rFonts w:asciiTheme="majorHAnsi" w:hAnsiTheme="majorHAnsi"/>
          <w:b/>
        </w:rPr>
        <w:t xml:space="preserve">a di generale fiducia a livello finanziario </w:t>
      </w:r>
      <w:r w:rsidR="005B1E8C" w:rsidRPr="0017302F">
        <w:rPr>
          <w:rFonts w:asciiTheme="majorHAnsi" w:hAnsiTheme="majorHAnsi"/>
          <w:bCs/>
        </w:rPr>
        <w:t xml:space="preserve">in grado di tradursi in una </w:t>
      </w:r>
      <w:r w:rsidR="005B1E8C" w:rsidRPr="006E21E2">
        <w:rPr>
          <w:rFonts w:asciiTheme="majorHAnsi" w:hAnsiTheme="majorHAnsi"/>
          <w:b/>
        </w:rPr>
        <w:t>maggiore propensione delle banche all’erogazione di mutui</w:t>
      </w:r>
      <w:r w:rsidR="005B1E8C" w:rsidRPr="0017302F">
        <w:rPr>
          <w:rFonts w:asciiTheme="majorHAnsi" w:hAnsiTheme="majorHAnsi"/>
          <w:bCs/>
        </w:rPr>
        <w:t xml:space="preserve">. </w:t>
      </w:r>
    </w:p>
    <w:p w14:paraId="57D4C9B4" w14:textId="77777777" w:rsidR="004477BF" w:rsidRDefault="004477BF" w:rsidP="004477BF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</w:p>
    <w:p w14:paraId="5EF93E4B" w14:textId="29AC736C" w:rsidR="005B1E8C" w:rsidRPr="00B51397" w:rsidRDefault="005B1E8C" w:rsidP="004477BF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B51397">
        <w:rPr>
          <w:rFonts w:asciiTheme="majorHAnsi" w:eastAsia="Times New Roman" w:hAnsiTheme="majorHAnsi" w:cstheme="majorHAnsi"/>
          <w:b/>
          <w:bCs/>
          <w:color w:val="FF0000"/>
        </w:rPr>
        <w:t>ANDAMENTO MERCATO IMMOBILIARE RESIDENZIALE</w:t>
      </w:r>
      <w:r w:rsidR="0017302F" w:rsidRPr="00B51397">
        <w:rPr>
          <w:rFonts w:asciiTheme="majorHAnsi" w:eastAsia="Times New Roman" w:hAnsiTheme="majorHAnsi" w:cstheme="majorHAnsi"/>
          <w:b/>
          <w:bCs/>
          <w:color w:val="FF0000"/>
        </w:rPr>
        <w:t>:</w:t>
      </w:r>
      <w:r w:rsidRPr="00B51397">
        <w:rPr>
          <w:rFonts w:asciiTheme="majorHAnsi" w:eastAsia="Times New Roman" w:hAnsiTheme="majorHAnsi" w:cstheme="majorHAnsi"/>
          <w:b/>
          <w:bCs/>
          <w:color w:val="FF0000"/>
        </w:rPr>
        <w:t xml:space="preserve"> FINE 2020, INIZIO 2021 E PREVISIONI </w:t>
      </w:r>
    </w:p>
    <w:p w14:paraId="1AD7A448" w14:textId="5810CEB4" w:rsidR="005B1E8C" w:rsidRPr="00AB4739" w:rsidRDefault="00E747DC" w:rsidP="004477BF">
      <w:pPr>
        <w:pStyle w:val="Testonormale"/>
        <w:spacing w:line="276" w:lineRule="auto"/>
        <w:jc w:val="both"/>
        <w:rPr>
          <w:rFonts w:asciiTheme="majorHAnsi" w:eastAsia="Times New Roman" w:hAnsiTheme="majorHAnsi" w:cstheme="majorHAnsi"/>
          <w:color w:val="000000" w:themeColor="text1"/>
          <w:szCs w:val="22"/>
        </w:rPr>
      </w:pPr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Il settore immobiliare e quello creditizio sono storicamente andati a braccetto e l’aspetto finanziario ha da sempre condizionato il </w:t>
      </w:r>
      <w:proofErr w:type="spellStart"/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real</w:t>
      </w:r>
      <w:proofErr w:type="spellEnd"/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estate</w:t>
      </w:r>
      <w:r w:rsidRPr="00AB4739"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 w:rsidR="005B1E8C" w:rsidRPr="00AB4739">
        <w:rPr>
          <w:rFonts w:asciiTheme="majorHAnsi" w:eastAsia="Times New Roman" w:hAnsiTheme="majorHAnsi" w:cstheme="majorHAnsi"/>
          <w:color w:val="000000" w:themeColor="text1"/>
        </w:rPr>
        <w:t xml:space="preserve">Nel 2020 </w:t>
      </w:r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>il mercato immobiliare residenziale ha dimostrato di essere molto resiliente</w:t>
      </w:r>
      <w:r w:rsidR="0017302F">
        <w:rPr>
          <w:rFonts w:asciiTheme="majorHAnsi" w:eastAsia="Times New Roman" w:hAnsiTheme="majorHAnsi" w:cstheme="majorHAnsi"/>
          <w:color w:val="000000" w:themeColor="text1"/>
          <w:szCs w:val="22"/>
        </w:rPr>
        <w:t>,</w:t>
      </w:r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 xml:space="preserve"> </w:t>
      </w:r>
      <w:r w:rsidR="005B1E8C" w:rsidRPr="00AB4739">
        <w:rPr>
          <w:rFonts w:asciiTheme="majorHAnsi" w:eastAsia="Times New Roman" w:hAnsiTheme="majorHAnsi" w:cstheme="majorHAnsi"/>
          <w:color w:val="000000" w:themeColor="text1"/>
        </w:rPr>
        <w:t>registr</w:t>
      </w:r>
      <w:r w:rsidR="0017302F">
        <w:rPr>
          <w:rFonts w:asciiTheme="majorHAnsi" w:eastAsia="Times New Roman" w:hAnsiTheme="majorHAnsi" w:cstheme="majorHAnsi"/>
          <w:color w:val="000000" w:themeColor="text1"/>
        </w:rPr>
        <w:t>ando</w:t>
      </w:r>
      <w:r w:rsidR="005B1E8C" w:rsidRPr="00AB4739">
        <w:rPr>
          <w:rFonts w:asciiTheme="majorHAnsi" w:eastAsia="Times New Roman" w:hAnsiTheme="majorHAnsi" w:cstheme="majorHAnsi"/>
          <w:color w:val="000000" w:themeColor="text1"/>
        </w:rPr>
        <w:t xml:space="preserve"> complessivamente </w:t>
      </w:r>
      <w:r w:rsidR="0017302F">
        <w:rPr>
          <w:rFonts w:asciiTheme="majorHAnsi" w:eastAsia="Times New Roman" w:hAnsiTheme="majorHAnsi" w:cstheme="majorHAnsi"/>
          <w:color w:val="000000" w:themeColor="text1"/>
        </w:rPr>
        <w:t xml:space="preserve">su base annua </w:t>
      </w:r>
      <w:r w:rsidR="005B1E8C" w:rsidRPr="00AB4739">
        <w:rPr>
          <w:rFonts w:asciiTheme="majorHAnsi" w:eastAsia="Times New Roman" w:hAnsiTheme="majorHAnsi" w:cstheme="majorHAnsi"/>
          <w:color w:val="000000" w:themeColor="text1"/>
        </w:rPr>
        <w:t>un calo delle compravendite (-</w:t>
      </w:r>
      <w:r w:rsidR="000D4E09">
        <w:rPr>
          <w:rFonts w:asciiTheme="majorHAnsi" w:eastAsia="Times New Roman" w:hAnsiTheme="majorHAnsi" w:cstheme="majorHAnsi"/>
          <w:color w:val="000000" w:themeColor="text1"/>
        </w:rPr>
        <w:t>7,6</w:t>
      </w:r>
      <w:r w:rsidR="005B1E8C" w:rsidRPr="00AB4739">
        <w:rPr>
          <w:rFonts w:asciiTheme="majorHAnsi" w:eastAsia="Times New Roman" w:hAnsiTheme="majorHAnsi" w:cstheme="majorHAnsi"/>
          <w:color w:val="000000" w:themeColor="text1"/>
        </w:rPr>
        <w:t>%</w:t>
      </w:r>
      <w:r w:rsidR="005479C9">
        <w:rPr>
          <w:rFonts w:asciiTheme="majorHAnsi" w:eastAsia="Times New Roman" w:hAnsiTheme="majorHAnsi" w:cstheme="majorHAnsi"/>
          <w:color w:val="000000" w:themeColor="text1"/>
        </w:rPr>
        <w:t xml:space="preserve"> - fonte</w:t>
      </w:r>
      <w:r w:rsidR="00002506">
        <w:rPr>
          <w:rFonts w:asciiTheme="majorHAnsi" w:eastAsia="Times New Roman" w:hAnsiTheme="majorHAnsi" w:cstheme="majorHAnsi"/>
          <w:color w:val="000000" w:themeColor="text1"/>
        </w:rPr>
        <w:t>:</w:t>
      </w:r>
      <w:r w:rsidR="005479C9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5479C9" w:rsidRPr="00002506">
        <w:rPr>
          <w:rFonts w:asciiTheme="majorHAnsi" w:eastAsia="Times New Roman" w:hAnsiTheme="majorHAnsi" w:cstheme="majorHAnsi"/>
          <w:i/>
          <w:iCs/>
          <w:color w:val="000000" w:themeColor="text1"/>
        </w:rPr>
        <w:t>Bollettino Economico di Banca d’Italia</w:t>
      </w:r>
      <w:r w:rsidR="005B1E8C" w:rsidRPr="00AB4739">
        <w:rPr>
          <w:rFonts w:asciiTheme="majorHAnsi" w:eastAsia="Times New Roman" w:hAnsiTheme="majorHAnsi" w:cstheme="majorHAnsi"/>
          <w:color w:val="000000" w:themeColor="text1"/>
        </w:rPr>
        <w:t>)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,</w:t>
      </w:r>
      <w:r w:rsidR="005B1E8C" w:rsidRPr="00AB4739">
        <w:rPr>
          <w:rFonts w:asciiTheme="majorHAnsi" w:eastAsia="Times New Roman" w:hAnsiTheme="majorHAnsi" w:cstheme="majorHAnsi"/>
          <w:color w:val="000000" w:themeColor="text1"/>
        </w:rPr>
        <w:t xml:space="preserve"> ma </w:t>
      </w:r>
      <w:r w:rsidR="0017302F">
        <w:rPr>
          <w:rFonts w:asciiTheme="majorHAnsi" w:eastAsia="Times New Roman" w:hAnsiTheme="majorHAnsi" w:cstheme="majorHAnsi"/>
          <w:color w:val="000000" w:themeColor="text1"/>
        </w:rPr>
        <w:t xml:space="preserve">mettendo a segno un </w:t>
      </w:r>
      <w:r w:rsidR="005B1E8C" w:rsidRPr="006E21E2">
        <w:rPr>
          <w:rFonts w:asciiTheme="majorHAnsi" w:eastAsia="Times New Roman" w:hAnsiTheme="majorHAnsi" w:cstheme="majorHAnsi"/>
          <w:b/>
          <w:bCs/>
          <w:color w:val="000000" w:themeColor="text1"/>
          <w:szCs w:val="22"/>
        </w:rPr>
        <w:t xml:space="preserve">andamento crescente già </w:t>
      </w:r>
      <w:r w:rsidR="005D42A6">
        <w:rPr>
          <w:rFonts w:asciiTheme="majorHAnsi" w:eastAsia="Times New Roman" w:hAnsiTheme="majorHAnsi" w:cstheme="majorHAnsi"/>
          <w:b/>
          <w:bCs/>
          <w:color w:val="000000" w:themeColor="text1"/>
          <w:szCs w:val="22"/>
        </w:rPr>
        <w:t>n</w:t>
      </w:r>
      <w:r w:rsidR="005B1E8C" w:rsidRPr="006E21E2">
        <w:rPr>
          <w:rFonts w:asciiTheme="majorHAnsi" w:eastAsia="Times New Roman" w:hAnsiTheme="majorHAnsi" w:cstheme="majorHAnsi"/>
          <w:b/>
          <w:bCs/>
          <w:color w:val="000000" w:themeColor="text1"/>
          <w:szCs w:val="22"/>
        </w:rPr>
        <w:t>ell’ultimo trimestre</w:t>
      </w:r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 xml:space="preserve"> (+9% rispetto al 2019). Un’anticipazione della </w:t>
      </w:r>
      <w:r w:rsidR="005B1E8C" w:rsidRPr="006E21E2">
        <w:rPr>
          <w:rFonts w:asciiTheme="majorHAnsi" w:eastAsia="Times New Roman" w:hAnsiTheme="majorHAnsi" w:cstheme="majorHAnsi"/>
          <w:b/>
          <w:bCs/>
          <w:color w:val="000000" w:themeColor="text1"/>
          <w:szCs w:val="22"/>
        </w:rPr>
        <w:t>ripresa prevista per il 2021</w:t>
      </w:r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 xml:space="preserve">, </w:t>
      </w:r>
      <w:r w:rsidR="0017302F">
        <w:rPr>
          <w:rFonts w:asciiTheme="majorHAnsi" w:eastAsia="Times New Roman" w:hAnsiTheme="majorHAnsi" w:cstheme="majorHAnsi"/>
          <w:color w:val="000000" w:themeColor="text1"/>
          <w:szCs w:val="22"/>
        </w:rPr>
        <w:t>in cui si prospetta u</w:t>
      </w:r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 xml:space="preserve">na </w:t>
      </w:r>
      <w:r w:rsidR="005B1E8C" w:rsidRPr="006E21E2">
        <w:rPr>
          <w:rFonts w:asciiTheme="majorHAnsi" w:eastAsia="Times New Roman" w:hAnsiTheme="majorHAnsi" w:cstheme="majorHAnsi"/>
          <w:b/>
          <w:bCs/>
          <w:color w:val="000000" w:themeColor="text1"/>
          <w:szCs w:val="22"/>
        </w:rPr>
        <w:t>risalita graduale che andrà a rafforzarsi nel 2022</w:t>
      </w:r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 xml:space="preserve">, anno in cui si stima un ritorno ai livelli </w:t>
      </w:r>
      <w:proofErr w:type="spellStart"/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>pre</w:t>
      </w:r>
      <w:proofErr w:type="spellEnd"/>
      <w:r w:rsidR="00056854">
        <w:rPr>
          <w:rFonts w:asciiTheme="majorHAnsi" w:eastAsia="Times New Roman" w:hAnsiTheme="majorHAnsi" w:cstheme="majorHAnsi"/>
          <w:color w:val="000000" w:themeColor="text1"/>
          <w:szCs w:val="22"/>
        </w:rPr>
        <w:t>-</w:t>
      </w:r>
      <w:r w:rsidR="005B1E8C" w:rsidRPr="00AB4739">
        <w:rPr>
          <w:rFonts w:asciiTheme="majorHAnsi" w:eastAsia="Times New Roman" w:hAnsiTheme="majorHAnsi" w:cstheme="majorHAnsi"/>
          <w:color w:val="000000" w:themeColor="text1"/>
          <w:szCs w:val="22"/>
        </w:rPr>
        <w:t>pandemia.</w:t>
      </w:r>
    </w:p>
    <w:p w14:paraId="154250D9" w14:textId="77777777" w:rsidR="004477BF" w:rsidRDefault="004477BF" w:rsidP="004477BF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000000" w:themeColor="text1"/>
        </w:rPr>
      </w:pPr>
    </w:p>
    <w:p w14:paraId="2A976646" w14:textId="0DA3F47B" w:rsidR="0017302F" w:rsidRPr="00B51397" w:rsidRDefault="0017302F" w:rsidP="004477BF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B51397">
        <w:rPr>
          <w:rFonts w:asciiTheme="majorHAnsi" w:eastAsia="Times New Roman" w:hAnsiTheme="majorHAnsi" w:cstheme="majorHAnsi"/>
          <w:b/>
          <w:bCs/>
          <w:color w:val="FF0000"/>
        </w:rPr>
        <w:t>PREVISION</w:t>
      </w:r>
      <w:r w:rsidR="004477BF" w:rsidRPr="00B51397">
        <w:rPr>
          <w:rFonts w:asciiTheme="majorHAnsi" w:eastAsia="Times New Roman" w:hAnsiTheme="majorHAnsi" w:cstheme="majorHAnsi"/>
          <w:b/>
          <w:bCs/>
          <w:color w:val="FF0000"/>
        </w:rPr>
        <w:t>I</w:t>
      </w:r>
      <w:r w:rsidRPr="00B51397">
        <w:rPr>
          <w:rFonts w:asciiTheme="majorHAnsi" w:eastAsia="Times New Roman" w:hAnsiTheme="majorHAnsi" w:cstheme="majorHAnsi"/>
          <w:b/>
          <w:bCs/>
          <w:color w:val="FF0000"/>
        </w:rPr>
        <w:t xml:space="preserve"> SULLE TIPOLOGIE DI MUTUO IN AMBITO RESIDENZIALE PER IL 2021</w:t>
      </w:r>
    </w:p>
    <w:p w14:paraId="35BDD262" w14:textId="234607C1" w:rsidR="0017302F" w:rsidRPr="00AB4739" w:rsidRDefault="0017302F" w:rsidP="004477BF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Il mutuo ipotecario si conferma il prodotto preferito per i nuovi acquisti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 w:rsidRPr="0017302F">
        <w:rPr>
          <w:rFonts w:asciiTheme="majorHAnsi" w:eastAsia="Times New Roman" w:hAnsiTheme="majorHAnsi" w:cstheme="majorHAnsi"/>
          <w:color w:val="000000" w:themeColor="text1"/>
        </w:rPr>
        <w:t>Questa situazione, unita ai tassi ai minimi storici, rappresenta un periodo ideale per chi vuole comprare casa accendendo un mutuo.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Nello specifico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,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Pr="00AB4739">
        <w:rPr>
          <w:rFonts w:asciiTheme="majorHAnsi" w:eastAsia="Times New Roman" w:hAnsiTheme="majorHAnsi" w:cstheme="majorHAnsi"/>
          <w:color w:val="000000" w:themeColor="text1"/>
        </w:rPr>
        <w:t xml:space="preserve">i </w:t>
      </w:r>
      <w:r w:rsidRPr="00E747DC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prodotti più richiesti continuano a essere mutui a tasso fisso </w:t>
      </w:r>
      <w:r>
        <w:rPr>
          <w:rFonts w:asciiTheme="majorHAnsi" w:eastAsia="Times New Roman" w:hAnsiTheme="majorHAnsi" w:cstheme="majorHAnsi"/>
          <w:color w:val="000000" w:themeColor="text1"/>
        </w:rPr>
        <w:t>che quotano l’88,8% delle nuove erogazioni</w:t>
      </w:r>
      <w:r w:rsidRPr="00AB4739"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Un dato confermato </w:t>
      </w:r>
      <w:r w:rsidR="00950D9B">
        <w:rPr>
          <w:rFonts w:asciiTheme="majorHAnsi" w:eastAsia="Times New Roman" w:hAnsiTheme="majorHAnsi" w:cstheme="majorHAnsi"/>
          <w:color w:val="000000" w:themeColor="text1"/>
        </w:rPr>
        <w:t>dall’Ufficio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S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tudi di </w:t>
      </w:r>
      <w:r w:rsidRPr="00672E5B">
        <w:rPr>
          <w:rFonts w:asciiTheme="majorHAnsi" w:eastAsia="Times New Roman" w:hAnsiTheme="majorHAnsi" w:cstheme="majorHAnsi"/>
        </w:rPr>
        <w:t>24MAX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,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che registra però una lieve flessione rispetto ai dati di mercato. “</w:t>
      </w:r>
      <w:r w:rsidRPr="00056854">
        <w:rPr>
          <w:rFonts w:asciiTheme="majorHAnsi" w:eastAsia="Times New Roman" w:hAnsiTheme="majorHAnsi" w:cstheme="majorHAnsi"/>
          <w:i/>
          <w:iCs/>
          <w:color w:val="000000" w:themeColor="text1"/>
        </w:rPr>
        <w:t xml:space="preserve">Sulla base del nostro transato, il tasso fisso rappresenta l’84% dei mutui erogati nel primo trimestre 2021. In questo scostamento rispetto ai dati di mercato si potrebbe leggere un </w:t>
      </w:r>
      <w:r w:rsidRPr="00B5139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>primo segnale di inversione di tendenza</w:t>
      </w:r>
      <w:r w:rsidR="001748B5" w:rsidRPr="00B51397">
        <w:rPr>
          <w:rFonts w:asciiTheme="majorHAnsi" w:eastAsia="Times New Roman" w:hAnsiTheme="majorHAnsi" w:cstheme="majorHAnsi"/>
          <w:b/>
          <w:bCs/>
          <w:i/>
          <w:iCs/>
          <w:color w:val="000000" w:themeColor="text1"/>
        </w:rPr>
        <w:t xml:space="preserve"> tra fisso e variabile</w:t>
      </w:r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”, </w:t>
      </w:r>
      <w:r w:rsidR="00AE4D70" w:rsidRPr="00DA4920">
        <w:rPr>
          <w:rFonts w:asciiTheme="majorHAnsi" w:eastAsia="Times New Roman" w:hAnsiTheme="majorHAnsi" w:cstheme="majorHAnsi"/>
          <w:color w:val="000000" w:themeColor="text1"/>
        </w:rPr>
        <w:t>commenta</w:t>
      </w:r>
      <w:r w:rsidR="001748B5" w:rsidRPr="00DA4920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0D4E09" w:rsidRPr="000D4E09">
        <w:rPr>
          <w:rFonts w:asciiTheme="majorHAnsi" w:eastAsia="Times New Roman" w:hAnsiTheme="majorHAnsi" w:cstheme="majorHAnsi"/>
          <w:b/>
          <w:bCs/>
          <w:color w:val="000000" w:themeColor="text1"/>
        </w:rPr>
        <w:t>Marco Boidi, Head of Sales Network di 24MAX</w:t>
      </w:r>
      <w:r w:rsidR="001748B5">
        <w:rPr>
          <w:rFonts w:asciiTheme="majorHAnsi" w:eastAsia="Times New Roman" w:hAnsiTheme="majorHAnsi" w:cstheme="majorHAnsi"/>
          <w:color w:val="000000" w:themeColor="text1"/>
        </w:rPr>
        <w:t>. “</w:t>
      </w:r>
      <w:r w:rsidR="001748B5" w:rsidRPr="00056854">
        <w:rPr>
          <w:rFonts w:asciiTheme="majorHAnsi" w:eastAsia="Times New Roman" w:hAnsiTheme="majorHAnsi" w:cstheme="majorHAnsi"/>
          <w:i/>
          <w:iCs/>
          <w:color w:val="000000" w:themeColor="text1"/>
        </w:rPr>
        <w:t xml:space="preserve">Per </w:t>
      </w:r>
      <w:r w:rsidR="001748B5" w:rsidRPr="00056854">
        <w:rPr>
          <w:rFonts w:asciiTheme="majorHAnsi" w:eastAsia="Times New Roman" w:hAnsiTheme="majorHAnsi" w:cstheme="majorHAnsi"/>
          <w:i/>
          <w:iCs/>
          <w:color w:val="000000" w:themeColor="text1"/>
        </w:rPr>
        <w:lastRenderedPageBreak/>
        <w:t>alcune tipologie di acquirenti, infatti, la scelta del tasso variabile potrebbe essere più conveniente</w:t>
      </w:r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”. </w:t>
      </w:r>
      <w:r w:rsidR="00AE4D70">
        <w:rPr>
          <w:rFonts w:asciiTheme="majorHAnsi" w:eastAsia="Times New Roman" w:hAnsiTheme="majorHAnsi" w:cstheme="majorHAnsi"/>
          <w:color w:val="000000" w:themeColor="text1"/>
        </w:rPr>
        <w:t xml:space="preserve">Boidi </w:t>
      </w:r>
      <w:r w:rsidR="001748B5">
        <w:rPr>
          <w:rFonts w:asciiTheme="majorHAnsi" w:eastAsia="Times New Roman" w:hAnsiTheme="majorHAnsi" w:cstheme="majorHAnsi"/>
          <w:color w:val="000000" w:themeColor="text1"/>
        </w:rPr>
        <w:t>fa riferimento a quella categoria di compratori interessati all’acquisto di una casa, ma consapevoli che non si tratti dell’immobile della vita. Una soluzione abitativa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,</w:t>
      </w:r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 quindi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,</w:t>
      </w:r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 che potrebbe durare </w:t>
      </w:r>
      <w:r w:rsidR="00056854">
        <w:rPr>
          <w:rFonts w:asciiTheme="majorHAnsi" w:eastAsia="Times New Roman" w:hAnsiTheme="majorHAnsi" w:cstheme="majorHAnsi"/>
          <w:color w:val="000000" w:themeColor="text1"/>
        </w:rPr>
        <w:t xml:space="preserve">solo </w:t>
      </w:r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8/10 anni, come nel caso di giovani single che in questo lasso di tempo potrebbero fare famiglia. A questa tipologia di acquirenti i credit </w:t>
      </w:r>
      <w:proofErr w:type="spellStart"/>
      <w:r w:rsidR="001748B5">
        <w:rPr>
          <w:rFonts w:asciiTheme="majorHAnsi" w:eastAsia="Times New Roman" w:hAnsiTheme="majorHAnsi" w:cstheme="majorHAnsi"/>
          <w:color w:val="000000" w:themeColor="text1"/>
        </w:rPr>
        <w:t>specialist</w:t>
      </w:r>
      <w:proofErr w:type="spellEnd"/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 di 24MAX consigliano </w:t>
      </w:r>
      <w:r w:rsidR="005D42A6">
        <w:rPr>
          <w:rFonts w:asciiTheme="majorHAnsi" w:eastAsia="Times New Roman" w:hAnsiTheme="majorHAnsi" w:cstheme="majorHAnsi"/>
          <w:color w:val="000000" w:themeColor="text1"/>
        </w:rPr>
        <w:t xml:space="preserve">un </w:t>
      </w:r>
      <w:r w:rsidR="00B51397">
        <w:rPr>
          <w:rFonts w:asciiTheme="majorHAnsi" w:eastAsia="Times New Roman" w:hAnsiTheme="majorHAnsi" w:cstheme="majorHAnsi"/>
          <w:color w:val="000000" w:themeColor="text1"/>
        </w:rPr>
        <w:t>mutu</w:t>
      </w:r>
      <w:r w:rsidR="005D42A6">
        <w:rPr>
          <w:rFonts w:asciiTheme="majorHAnsi" w:eastAsia="Times New Roman" w:hAnsiTheme="majorHAnsi" w:cstheme="majorHAnsi"/>
          <w:color w:val="000000" w:themeColor="text1"/>
        </w:rPr>
        <w:t>o</w:t>
      </w:r>
      <w:r w:rsidR="00B51397">
        <w:rPr>
          <w:rFonts w:asciiTheme="majorHAnsi" w:eastAsia="Times New Roman" w:hAnsiTheme="majorHAnsi" w:cstheme="majorHAnsi"/>
          <w:color w:val="000000" w:themeColor="text1"/>
        </w:rPr>
        <w:t xml:space="preserve"> di lunga durata (indicativamente 20 anni) a</w:t>
      </w:r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 tasso variabile, che ha costi inferiori a quello fisso </w:t>
      </w:r>
      <w:r w:rsidR="00B51397">
        <w:rPr>
          <w:rFonts w:asciiTheme="majorHAnsi" w:eastAsia="Times New Roman" w:hAnsiTheme="majorHAnsi" w:cstheme="majorHAnsi"/>
          <w:color w:val="000000" w:themeColor="text1"/>
        </w:rPr>
        <w:t xml:space="preserve">e </w:t>
      </w:r>
      <w:r w:rsidR="001748B5">
        <w:rPr>
          <w:rFonts w:asciiTheme="majorHAnsi" w:eastAsia="Times New Roman" w:hAnsiTheme="majorHAnsi" w:cstheme="majorHAnsi"/>
          <w:color w:val="000000" w:themeColor="text1"/>
        </w:rPr>
        <w:t xml:space="preserve">che garantisce una rata bassa avendo però una prospettiva di vendita entro 6/7 anni. </w:t>
      </w:r>
    </w:p>
    <w:p w14:paraId="669C7810" w14:textId="77777777" w:rsidR="005B1E8C" w:rsidRPr="00AB4739" w:rsidRDefault="005B1E8C" w:rsidP="004477BF">
      <w:pPr>
        <w:shd w:val="clear" w:color="auto" w:fill="FFFFFF"/>
        <w:spacing w:after="0"/>
      </w:pPr>
    </w:p>
    <w:p w14:paraId="0BA6BDBA" w14:textId="3A6922C5" w:rsidR="0017302F" w:rsidRPr="00053E3F" w:rsidRDefault="005174E8" w:rsidP="005174E8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053E3F">
        <w:rPr>
          <w:rFonts w:asciiTheme="majorHAnsi" w:eastAsia="Times New Roman" w:hAnsiTheme="majorHAnsi" w:cstheme="majorHAnsi"/>
          <w:b/>
          <w:bCs/>
          <w:color w:val="FF0000"/>
        </w:rPr>
        <w:t>IL TRANSATO DI 24MAX: RISULTATI ANNO 2020 E PRIMO TRIMESTRE 2021</w:t>
      </w:r>
    </w:p>
    <w:p w14:paraId="41CEF4A4" w14:textId="57626376" w:rsidR="0017302F" w:rsidRPr="005174E8" w:rsidRDefault="0017302F" w:rsidP="005174E8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5174E8">
        <w:rPr>
          <w:rFonts w:asciiTheme="majorHAnsi" w:eastAsia="Times New Roman" w:hAnsiTheme="majorHAnsi" w:cstheme="majorHAnsi"/>
          <w:color w:val="000000" w:themeColor="text1"/>
        </w:rPr>
        <w:t>Nel corso del 2020</w:t>
      </w:r>
      <w:r w:rsidR="005174E8" w:rsidRPr="005174E8">
        <w:rPr>
          <w:rFonts w:asciiTheme="majorHAnsi" w:eastAsia="Times New Roman" w:hAnsiTheme="majorHAnsi" w:cstheme="majorHAnsi"/>
          <w:color w:val="000000" w:themeColor="text1"/>
        </w:rPr>
        <w:t xml:space="preserve">, la società di mediazione creditizia 24MAX ha raccolto 1.650 pratiche </w:t>
      </w:r>
      <w:r w:rsidR="005174E8">
        <w:rPr>
          <w:rFonts w:asciiTheme="majorHAnsi" w:eastAsia="Times New Roman" w:hAnsiTheme="majorHAnsi" w:cstheme="majorHAnsi"/>
          <w:color w:val="000000" w:themeColor="text1"/>
        </w:rPr>
        <w:t>di cui il 90% deriva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nte</w:t>
      </w:r>
      <w:r w:rsidR="005174E8">
        <w:rPr>
          <w:rFonts w:asciiTheme="majorHAnsi" w:eastAsia="Times New Roman" w:hAnsiTheme="majorHAnsi" w:cstheme="majorHAnsi"/>
          <w:color w:val="000000" w:themeColor="text1"/>
        </w:rPr>
        <w:t xml:space="preserve"> da nuovi acquisti. Il valore complessivo di mutui raccolti ed erogati ha </w:t>
      </w:r>
      <w:r w:rsidR="00056854">
        <w:rPr>
          <w:rFonts w:asciiTheme="majorHAnsi" w:eastAsia="Times New Roman" w:hAnsiTheme="majorHAnsi" w:cstheme="majorHAnsi"/>
          <w:color w:val="000000" w:themeColor="text1"/>
        </w:rPr>
        <w:t xml:space="preserve">raggiunto </w:t>
      </w:r>
      <w:r w:rsidRPr="005174E8">
        <w:rPr>
          <w:rFonts w:asciiTheme="majorHAnsi" w:eastAsia="Times New Roman" w:hAnsiTheme="majorHAnsi" w:cstheme="majorHAnsi"/>
          <w:color w:val="000000" w:themeColor="text1"/>
        </w:rPr>
        <w:t xml:space="preserve">i 220 milioni di euro. </w:t>
      </w:r>
      <w:r w:rsidR="005174E8">
        <w:rPr>
          <w:rFonts w:asciiTheme="majorHAnsi" w:eastAsia="Times New Roman" w:hAnsiTheme="majorHAnsi" w:cstheme="majorHAnsi"/>
          <w:color w:val="000000" w:themeColor="text1"/>
        </w:rPr>
        <w:t xml:space="preserve">L’importo medio dei mutui erogati </w:t>
      </w:r>
      <w:r w:rsidR="00B51397">
        <w:rPr>
          <w:rFonts w:asciiTheme="majorHAnsi" w:eastAsia="Times New Roman" w:hAnsiTheme="majorHAnsi" w:cstheme="majorHAnsi"/>
          <w:color w:val="000000" w:themeColor="text1"/>
        </w:rPr>
        <w:t xml:space="preserve">nel 2020 </w:t>
      </w:r>
      <w:r w:rsidR="005174E8">
        <w:rPr>
          <w:rFonts w:asciiTheme="majorHAnsi" w:eastAsia="Times New Roman" w:hAnsiTheme="majorHAnsi" w:cstheme="majorHAnsi"/>
          <w:color w:val="000000" w:themeColor="text1"/>
        </w:rPr>
        <w:t>è</w:t>
      </w:r>
      <w:r w:rsidR="00056854">
        <w:rPr>
          <w:rFonts w:asciiTheme="majorHAnsi" w:eastAsia="Times New Roman" w:hAnsiTheme="majorHAnsi" w:cstheme="majorHAnsi"/>
          <w:color w:val="000000" w:themeColor="text1"/>
        </w:rPr>
        <w:t xml:space="preserve"> stato</w:t>
      </w:r>
      <w:r w:rsidR="005174E8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5174E8" w:rsidRPr="00AB4739">
        <w:rPr>
          <w:rFonts w:asciiTheme="majorHAnsi" w:eastAsia="Times New Roman" w:hAnsiTheme="majorHAnsi" w:cstheme="majorHAnsi"/>
          <w:color w:val="000000" w:themeColor="text1"/>
        </w:rPr>
        <w:t xml:space="preserve">di </w:t>
      </w:r>
      <w:r w:rsidR="00C801B8">
        <w:rPr>
          <w:rFonts w:asciiTheme="majorHAnsi" w:eastAsia="Times New Roman" w:hAnsiTheme="majorHAnsi" w:cstheme="majorHAnsi"/>
          <w:color w:val="000000" w:themeColor="text1"/>
        </w:rPr>
        <w:t xml:space="preserve">€ </w:t>
      </w:r>
      <w:r w:rsidR="005174E8" w:rsidRPr="00AB4739">
        <w:rPr>
          <w:rFonts w:asciiTheme="majorHAnsi" w:eastAsia="Times New Roman" w:hAnsiTheme="majorHAnsi" w:cstheme="majorHAnsi"/>
          <w:color w:val="000000" w:themeColor="text1"/>
        </w:rPr>
        <w:t>133.300</w:t>
      </w:r>
      <w:r w:rsidR="005174E8">
        <w:rPr>
          <w:rFonts w:asciiTheme="majorHAnsi" w:eastAsia="Times New Roman" w:hAnsiTheme="majorHAnsi" w:cstheme="majorHAnsi"/>
          <w:color w:val="000000" w:themeColor="text1"/>
        </w:rPr>
        <w:t xml:space="preserve">. </w:t>
      </w:r>
    </w:p>
    <w:p w14:paraId="3E733AD9" w14:textId="4A411822" w:rsidR="00735F62" w:rsidRPr="005174E8" w:rsidRDefault="0017302F" w:rsidP="00735F62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C801B8">
        <w:rPr>
          <w:rFonts w:asciiTheme="majorHAnsi" w:eastAsia="Times New Roman" w:hAnsiTheme="majorHAnsi" w:cstheme="majorHAnsi"/>
          <w:color w:val="000000" w:themeColor="text1"/>
        </w:rPr>
        <w:t>Grazie al modello</w:t>
      </w:r>
      <w:r w:rsidR="00090FFB" w:rsidRPr="00C801B8">
        <w:rPr>
          <w:rFonts w:asciiTheme="majorHAnsi" w:eastAsia="Times New Roman" w:hAnsiTheme="majorHAnsi" w:cstheme="majorHAnsi"/>
          <w:color w:val="000000" w:themeColor="text1"/>
        </w:rPr>
        <w:t xml:space="preserve"> di business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 xml:space="preserve"> innovativo</w:t>
      </w:r>
      <w:r w:rsidR="00056854">
        <w:rPr>
          <w:rFonts w:asciiTheme="majorHAnsi" w:eastAsia="Times New Roman" w:hAnsiTheme="majorHAnsi" w:cstheme="majorHAnsi"/>
          <w:color w:val="000000" w:themeColor="text1"/>
        </w:rPr>
        <w:t>,</w:t>
      </w:r>
      <w:r w:rsidR="00090FFB" w:rsidRPr="00C801B8">
        <w:rPr>
          <w:rFonts w:asciiTheme="majorHAnsi" w:eastAsia="Times New Roman" w:hAnsiTheme="majorHAnsi" w:cstheme="majorHAnsi"/>
          <w:color w:val="000000" w:themeColor="text1"/>
        </w:rPr>
        <w:t xml:space="preserve"> che beneficia delle </w:t>
      </w:r>
      <w:r w:rsidRPr="00672E5B">
        <w:rPr>
          <w:rFonts w:asciiTheme="majorHAnsi" w:eastAsia="Times New Roman" w:hAnsiTheme="majorHAnsi" w:cstheme="majorHAnsi"/>
          <w:b/>
          <w:bCs/>
          <w:color w:val="000000" w:themeColor="text1"/>
        </w:rPr>
        <w:t>sinergie con</w:t>
      </w:r>
      <w:r w:rsidR="00090FFB" w:rsidRPr="00672E5B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il</w:t>
      </w:r>
      <w:r w:rsidR="00090FFB" w:rsidRPr="00C801B8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090FFB" w:rsidRPr="00053E3F">
        <w:rPr>
          <w:rFonts w:asciiTheme="majorHAnsi" w:eastAsia="Times New Roman" w:hAnsiTheme="majorHAnsi" w:cstheme="majorHAnsi"/>
          <w:b/>
          <w:bCs/>
          <w:color w:val="000000" w:themeColor="text1"/>
        </w:rPr>
        <w:t>network</w:t>
      </w:r>
      <w:r w:rsidR="00090FFB" w:rsidRPr="00C801B8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="00090FFB" w:rsidRPr="00672E5B">
        <w:rPr>
          <w:rFonts w:asciiTheme="majorHAnsi" w:eastAsia="Times New Roman" w:hAnsiTheme="majorHAnsi" w:cstheme="majorHAnsi"/>
          <w:b/>
          <w:bCs/>
        </w:rPr>
        <w:t>RE/MAX</w:t>
      </w:r>
      <w:r w:rsidR="00090FFB" w:rsidRPr="00C801B8"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 xml:space="preserve">24MAX ha registrato </w:t>
      </w:r>
      <w:r w:rsidRPr="00672E5B">
        <w:rPr>
          <w:rFonts w:asciiTheme="majorHAnsi" w:eastAsia="Times New Roman" w:hAnsiTheme="majorHAnsi" w:cstheme="majorHAnsi"/>
          <w:b/>
          <w:bCs/>
          <w:color w:val="000000" w:themeColor="text1"/>
        </w:rPr>
        <w:t>nel 1° trimes</w:t>
      </w:r>
      <w:bookmarkStart w:id="0" w:name="_GoBack"/>
      <w:bookmarkEnd w:id="0"/>
      <w:r w:rsidRPr="00672E5B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tre 2021 dati di crescita significativa </w:t>
      </w:r>
      <w:r w:rsidR="00C801B8" w:rsidRPr="00672E5B">
        <w:rPr>
          <w:rFonts w:asciiTheme="majorHAnsi" w:eastAsia="Times New Roman" w:hAnsiTheme="majorHAnsi" w:cstheme="majorHAnsi"/>
          <w:b/>
          <w:bCs/>
          <w:color w:val="000000" w:themeColor="text1"/>
        </w:rPr>
        <w:t>rispetto allo stesso periodo del 2020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>.</w:t>
      </w:r>
      <w:r w:rsidR="00C801B8">
        <w:rPr>
          <w:rFonts w:asciiTheme="majorHAnsi" w:eastAsia="Times New Roman" w:hAnsiTheme="majorHAnsi" w:cstheme="majorHAnsi"/>
          <w:color w:val="000000" w:themeColor="text1"/>
        </w:rPr>
        <w:t xml:space="preserve"> Da gennaio a marzo 2021 sono state raccolte 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e rogitate 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 xml:space="preserve">658 pratiche 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>(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>+154% sul 2020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) per un valore complessivo di </w:t>
      </w:r>
      <w:r w:rsidR="00C801B8">
        <w:rPr>
          <w:rFonts w:asciiTheme="majorHAnsi" w:eastAsia="Times New Roman" w:hAnsiTheme="majorHAnsi" w:cstheme="majorHAnsi"/>
          <w:color w:val="000000" w:themeColor="text1"/>
        </w:rPr>
        <w:t xml:space="preserve">€ 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>86.200.000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. A queste si aggiungono 233 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>pratiche erogate per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 un valore di </w:t>
      </w:r>
      <w:r w:rsidR="00C801B8">
        <w:rPr>
          <w:rFonts w:asciiTheme="majorHAnsi" w:eastAsia="Times New Roman" w:hAnsiTheme="majorHAnsi" w:cstheme="majorHAnsi"/>
          <w:color w:val="000000" w:themeColor="text1"/>
        </w:rPr>
        <w:t xml:space="preserve">€ 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>29.400.000</w:t>
      </w:r>
      <w:r w:rsidR="00735F62">
        <w:rPr>
          <w:rFonts w:asciiTheme="majorHAnsi" w:eastAsia="Times New Roman" w:hAnsiTheme="majorHAnsi" w:cstheme="majorHAnsi"/>
          <w:color w:val="000000" w:themeColor="text1"/>
        </w:rPr>
        <w:t xml:space="preserve"> e un importo medio di € </w:t>
      </w:r>
      <w:r w:rsidR="00735F62" w:rsidRPr="00AB4739">
        <w:rPr>
          <w:rFonts w:asciiTheme="majorHAnsi" w:eastAsia="Times New Roman" w:hAnsiTheme="majorHAnsi" w:cstheme="majorHAnsi"/>
          <w:color w:val="000000" w:themeColor="text1"/>
        </w:rPr>
        <w:t>13</w:t>
      </w:r>
      <w:r w:rsidR="00735F62">
        <w:rPr>
          <w:rFonts w:asciiTheme="majorHAnsi" w:eastAsia="Times New Roman" w:hAnsiTheme="majorHAnsi" w:cstheme="majorHAnsi"/>
          <w:color w:val="000000" w:themeColor="text1"/>
        </w:rPr>
        <w:t>1</w:t>
      </w:r>
      <w:r w:rsidR="00735F62" w:rsidRPr="00AB4739">
        <w:rPr>
          <w:rFonts w:asciiTheme="majorHAnsi" w:eastAsia="Times New Roman" w:hAnsiTheme="majorHAnsi" w:cstheme="majorHAnsi"/>
          <w:color w:val="000000" w:themeColor="text1"/>
        </w:rPr>
        <w:t>.</w:t>
      </w:r>
      <w:r w:rsidR="00735F62">
        <w:rPr>
          <w:rFonts w:asciiTheme="majorHAnsi" w:eastAsia="Times New Roman" w:hAnsiTheme="majorHAnsi" w:cstheme="majorHAnsi"/>
          <w:color w:val="000000" w:themeColor="text1"/>
        </w:rPr>
        <w:t>470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. Complessivamente le pratiche accese dai credit </w:t>
      </w:r>
      <w:proofErr w:type="spellStart"/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>specialist</w:t>
      </w:r>
      <w:proofErr w:type="spellEnd"/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 di 24MAX sono 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 xml:space="preserve">891 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per un valore di </w:t>
      </w:r>
      <w:r w:rsidR="00C801B8">
        <w:rPr>
          <w:rFonts w:asciiTheme="majorHAnsi" w:eastAsia="Times New Roman" w:hAnsiTheme="majorHAnsi" w:cstheme="majorHAnsi"/>
          <w:color w:val="000000" w:themeColor="text1"/>
        </w:rPr>
        <w:t xml:space="preserve">€ </w:t>
      </w:r>
      <w:r w:rsidRPr="00C801B8">
        <w:rPr>
          <w:rFonts w:asciiTheme="majorHAnsi" w:eastAsia="Times New Roman" w:hAnsiTheme="majorHAnsi" w:cstheme="majorHAnsi"/>
          <w:color w:val="000000" w:themeColor="text1"/>
        </w:rPr>
        <w:t>115.600.000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 w:rsidR="00C801B8">
        <w:rPr>
          <w:rFonts w:asciiTheme="majorHAnsi" w:eastAsia="Times New Roman" w:hAnsiTheme="majorHAnsi" w:cstheme="majorHAnsi"/>
          <w:color w:val="000000" w:themeColor="text1"/>
        </w:rPr>
        <w:t xml:space="preserve">Nel primo trimestre 2021 la rete conta 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90 consulenti attivi con una </w:t>
      </w:r>
      <w:r w:rsidR="00C801B8">
        <w:rPr>
          <w:rFonts w:asciiTheme="majorHAnsi" w:eastAsia="Times New Roman" w:hAnsiTheme="majorHAnsi" w:cstheme="majorHAnsi"/>
          <w:color w:val="000000" w:themeColor="text1"/>
        </w:rPr>
        <w:t xml:space="preserve">produzione media di € </w:t>
      </w:r>
      <w:r w:rsidR="0091661F">
        <w:rPr>
          <w:rFonts w:asciiTheme="majorHAnsi" w:eastAsia="Times New Roman" w:hAnsiTheme="majorHAnsi" w:cstheme="majorHAnsi"/>
          <w:color w:val="000000" w:themeColor="text1"/>
        </w:rPr>
        <w:t>1.284.450</w:t>
      </w:r>
      <w:r w:rsidR="00C801B8" w:rsidRPr="00C801B8">
        <w:rPr>
          <w:rFonts w:asciiTheme="majorHAnsi" w:eastAsia="Times New Roman" w:hAnsiTheme="majorHAnsi" w:cstheme="majorHAnsi"/>
          <w:color w:val="000000" w:themeColor="text1"/>
        </w:rPr>
        <w:t xml:space="preserve">. </w:t>
      </w:r>
    </w:p>
    <w:p w14:paraId="5E183DA9" w14:textId="77777777" w:rsidR="00FE78F6" w:rsidRPr="00C801B8" w:rsidRDefault="00FE78F6" w:rsidP="00C801B8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1BB6DA20" w14:textId="07929CE1" w:rsidR="005B1E8C" w:rsidRPr="00053E3F" w:rsidRDefault="00FE78F6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053E3F">
        <w:rPr>
          <w:rFonts w:asciiTheme="majorHAnsi" w:eastAsia="Times New Roman" w:hAnsiTheme="majorHAnsi" w:cstheme="majorHAnsi"/>
          <w:b/>
          <w:bCs/>
          <w:color w:val="FF0000"/>
        </w:rPr>
        <w:t xml:space="preserve">IDENTIKIT SOCIODEMOGRAFICO </w:t>
      </w:r>
    </w:p>
    <w:p w14:paraId="1425ACE3" w14:textId="67F0E2D1" w:rsidR="005B1E8C" w:rsidRDefault="00FE78F6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Dall’analisi del transato di 24MAX, </w:t>
      </w:r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la maggioranza di chi ha richiesto un mutuo nel primo trimestre 2021 è coniugato (45%),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seguono i single con il 35%</w:t>
      </w:r>
      <w:r w:rsidR="00735F62">
        <w:rPr>
          <w:rFonts w:asciiTheme="majorHAnsi" w:eastAsia="Times New Roman" w:hAnsiTheme="majorHAnsi" w:cstheme="majorHAnsi"/>
          <w:color w:val="000000" w:themeColor="text1"/>
        </w:rPr>
        <w:t>, di cui il 56% sono uomini e il 44% donne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 w:rsidR="005F269C">
        <w:rPr>
          <w:rFonts w:asciiTheme="majorHAnsi" w:eastAsia="Times New Roman" w:hAnsiTheme="majorHAnsi" w:cstheme="majorHAnsi"/>
          <w:color w:val="000000" w:themeColor="text1"/>
        </w:rPr>
        <w:t xml:space="preserve">Separati e divorziati rappresentano il 12%, mentre i conviventi che hanno acceso un mutuo sono il 6%. Solo il 2% dei casi è rappresentato da vedovi che scelgono di cambiare casa richiedendo un mutuo. </w:t>
      </w:r>
    </w:p>
    <w:p w14:paraId="23783281" w14:textId="77777777" w:rsidR="005F269C" w:rsidRDefault="005F269C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3C867F94" w14:textId="2A41C9F2" w:rsidR="005F269C" w:rsidRDefault="005F269C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Analizzando il panel per fasce d’età, 24 MAX rileva </w:t>
      </w:r>
      <w:r w:rsidRPr="0091661F">
        <w:rPr>
          <w:rFonts w:asciiTheme="majorHAnsi" w:eastAsia="Times New Roman" w:hAnsiTheme="majorHAnsi" w:cstheme="majorHAnsi"/>
          <w:b/>
          <w:bCs/>
          <w:color w:val="000000" w:themeColor="text1"/>
        </w:rPr>
        <w:t>n</w:t>
      </w:r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ella fascia 35-44 anni il maggior numero di richiedenti (35%)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. </w:t>
      </w:r>
      <w:r w:rsidR="00735F62">
        <w:rPr>
          <w:rFonts w:asciiTheme="majorHAnsi" w:eastAsia="Times New Roman" w:hAnsiTheme="majorHAnsi" w:cstheme="majorHAnsi"/>
          <w:color w:val="000000" w:themeColor="text1"/>
        </w:rPr>
        <w:t>Le altre richieste si dividono equamente tra le fasce 25-3</w:t>
      </w:r>
      <w:r w:rsidR="0091661F">
        <w:rPr>
          <w:rFonts w:asciiTheme="majorHAnsi" w:eastAsia="Times New Roman" w:hAnsiTheme="majorHAnsi" w:cstheme="majorHAnsi"/>
          <w:color w:val="000000" w:themeColor="text1"/>
        </w:rPr>
        <w:t>4</w:t>
      </w:r>
      <w:r w:rsidR="00735F62">
        <w:rPr>
          <w:rFonts w:asciiTheme="majorHAnsi" w:eastAsia="Times New Roman" w:hAnsiTheme="majorHAnsi" w:cstheme="majorHAnsi"/>
          <w:color w:val="000000" w:themeColor="text1"/>
        </w:rPr>
        <w:t xml:space="preserve"> per il 19%, 45-54 per il 22% e over 55 per il 22%. Una piccola quota, seppur significativa (2%), si registra nella fascia d’età dei più giovani (18-24).</w:t>
      </w:r>
    </w:p>
    <w:p w14:paraId="2F07D8E6" w14:textId="32FD5034" w:rsidR="00735F62" w:rsidRDefault="00735F62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3AFAB16F" w14:textId="2AC78CCD" w:rsidR="00735F62" w:rsidRDefault="00735F62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>
        <w:rPr>
          <w:rFonts w:asciiTheme="majorHAnsi" w:eastAsia="Times New Roman" w:hAnsiTheme="majorHAnsi" w:cstheme="majorHAnsi"/>
          <w:color w:val="000000" w:themeColor="text1"/>
        </w:rPr>
        <w:t xml:space="preserve">Analizzando complessivamente le pratiche raccolte nel primo trimestre 2021, </w:t>
      </w:r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il 97,5% è destinato all’acquisto della prima casa. Solo il 2,5%</w:t>
      </w:r>
      <w:r w:rsidR="005602D1"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 dei mutui</w:t>
      </w:r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, quindi, </w:t>
      </w:r>
      <w:r w:rsidR="005602D1"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è stato richiesto per l’acquisto di una seconda casa</w:t>
      </w:r>
      <w:r w:rsidR="005602D1">
        <w:rPr>
          <w:rFonts w:asciiTheme="majorHAnsi" w:eastAsia="Times New Roman" w:hAnsiTheme="majorHAnsi" w:cstheme="majorHAnsi"/>
          <w:color w:val="000000" w:themeColor="text1"/>
        </w:rPr>
        <w:t xml:space="preserve">. </w:t>
      </w:r>
    </w:p>
    <w:p w14:paraId="44714F24" w14:textId="49F5FA89" w:rsidR="005602D1" w:rsidRDefault="005602D1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77446C0A" w14:textId="77777777" w:rsidR="005602D1" w:rsidRPr="00053E3F" w:rsidRDefault="005602D1" w:rsidP="005602D1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bCs/>
          <w:color w:val="FF0000"/>
        </w:rPr>
      </w:pPr>
      <w:r w:rsidRPr="00053E3F">
        <w:rPr>
          <w:rFonts w:asciiTheme="majorHAnsi" w:eastAsia="Times New Roman" w:hAnsiTheme="majorHAnsi" w:cstheme="majorHAnsi"/>
          <w:b/>
          <w:bCs/>
          <w:color w:val="FF0000"/>
        </w:rPr>
        <w:t>NETWORK BANCHE AFFILIATE A 24MAX</w:t>
      </w:r>
    </w:p>
    <w:p w14:paraId="0C14F9B0" w14:textId="530F57AD" w:rsidR="005602D1" w:rsidRPr="005602D1" w:rsidRDefault="005602D1" w:rsidP="005602D1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5602D1">
        <w:rPr>
          <w:rFonts w:asciiTheme="majorHAnsi" w:eastAsia="Times New Roman" w:hAnsiTheme="majorHAnsi" w:cstheme="majorHAnsi"/>
          <w:color w:val="000000" w:themeColor="text1"/>
        </w:rPr>
        <w:t>Nel primo trimestre 2021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24MAX ha siglato </w:t>
      </w:r>
      <w:r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 xml:space="preserve">3 nuove convenzioni </w:t>
      </w:r>
      <w:r w:rsidR="00237C31" w:rsidRPr="00B51397">
        <w:rPr>
          <w:rFonts w:asciiTheme="majorHAnsi" w:eastAsia="Times New Roman" w:hAnsiTheme="majorHAnsi" w:cstheme="majorHAnsi"/>
          <w:b/>
          <w:bCs/>
          <w:color w:val="000000" w:themeColor="text1"/>
        </w:rPr>
        <w:t>bancarie</w:t>
      </w:r>
      <w:r w:rsidR="00237C31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con </w:t>
      </w:r>
      <w:proofErr w:type="spellStart"/>
      <w:r w:rsidRPr="005602D1">
        <w:rPr>
          <w:rFonts w:asciiTheme="majorHAnsi" w:eastAsia="Times New Roman" w:hAnsiTheme="majorHAnsi" w:cstheme="majorHAnsi"/>
          <w:color w:val="000000" w:themeColor="text1"/>
        </w:rPr>
        <w:t>Extrabanca</w:t>
      </w:r>
      <w:proofErr w:type="spellEnd"/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Banca Popolare Sant’Angelo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e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Prestiamoci S.p.A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. Gli accordi </w:t>
      </w:r>
      <w:r w:rsidR="00237C31">
        <w:rPr>
          <w:rFonts w:asciiTheme="majorHAnsi" w:eastAsia="Times New Roman" w:hAnsiTheme="majorHAnsi" w:cstheme="majorHAnsi"/>
          <w:color w:val="000000" w:themeColor="text1"/>
        </w:rPr>
        <w:t xml:space="preserve">bancari complessivamente 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in vigore salgono dunque a 19 e comprendono, oltre ai tre già citati, i seguenti istituti di credito: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Agos Ducato S.p.A.,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Banca di Credito Cooperativo di Roma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Banca Credito Valtellinese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Banca Nazionale del Lavoro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Banca Progetto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proofErr w:type="spellStart"/>
      <w:r w:rsidRPr="005602D1">
        <w:rPr>
          <w:rFonts w:asciiTheme="majorHAnsi" w:eastAsia="Times New Roman" w:hAnsiTheme="majorHAnsi" w:cstheme="majorHAnsi"/>
          <w:color w:val="000000" w:themeColor="text1"/>
        </w:rPr>
        <w:t>BiverBanca</w:t>
      </w:r>
      <w:proofErr w:type="spellEnd"/>
      <w:r w:rsidRPr="005602D1">
        <w:rPr>
          <w:rFonts w:asciiTheme="majorHAnsi" w:eastAsia="Times New Roman" w:hAnsiTheme="majorHAnsi" w:cstheme="majorHAnsi"/>
          <w:color w:val="000000" w:themeColor="text1"/>
        </w:rPr>
        <w:t xml:space="preserve">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Cassa di Risparmio di Asti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CheBanca!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proofErr w:type="spellStart"/>
      <w:r w:rsidRPr="005602D1">
        <w:rPr>
          <w:rFonts w:asciiTheme="majorHAnsi" w:eastAsia="Times New Roman" w:hAnsiTheme="majorHAnsi" w:cstheme="majorHAnsi"/>
          <w:color w:val="000000" w:themeColor="text1"/>
        </w:rPr>
        <w:t>Compass</w:t>
      </w:r>
      <w:proofErr w:type="spellEnd"/>
      <w:r w:rsidRPr="005602D1">
        <w:rPr>
          <w:rFonts w:asciiTheme="majorHAnsi" w:eastAsia="Times New Roman" w:hAnsiTheme="majorHAnsi" w:cstheme="majorHAnsi"/>
          <w:color w:val="000000" w:themeColor="text1"/>
        </w:rPr>
        <w:t xml:space="preserve">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Crédit Agricole Cariparma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Crédit Agricole Carispezia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 xml:space="preserve">Crédit Agricole </w:t>
      </w:r>
      <w:proofErr w:type="spellStart"/>
      <w:r w:rsidRPr="005602D1">
        <w:rPr>
          <w:rFonts w:asciiTheme="majorHAnsi" w:eastAsia="Times New Roman" w:hAnsiTheme="majorHAnsi" w:cstheme="majorHAnsi"/>
          <w:color w:val="000000" w:themeColor="text1"/>
        </w:rPr>
        <w:t>FriulAdria</w:t>
      </w:r>
      <w:proofErr w:type="spellEnd"/>
      <w:r w:rsidRPr="005602D1">
        <w:rPr>
          <w:rFonts w:asciiTheme="majorHAnsi" w:eastAsia="Times New Roman" w:hAnsiTheme="majorHAnsi" w:cstheme="majorHAnsi"/>
          <w:color w:val="000000" w:themeColor="text1"/>
        </w:rPr>
        <w:t xml:space="preserve">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proofErr w:type="spellStart"/>
      <w:r w:rsidRPr="005602D1">
        <w:rPr>
          <w:rFonts w:asciiTheme="majorHAnsi" w:eastAsia="Times New Roman" w:hAnsiTheme="majorHAnsi" w:cstheme="majorHAnsi"/>
          <w:color w:val="000000" w:themeColor="text1"/>
        </w:rPr>
        <w:t>Fincontinuo</w:t>
      </w:r>
      <w:proofErr w:type="spellEnd"/>
      <w:r w:rsidRPr="005602D1">
        <w:rPr>
          <w:rFonts w:asciiTheme="majorHAnsi" w:eastAsia="Times New Roman" w:hAnsiTheme="majorHAnsi" w:cstheme="majorHAnsi"/>
          <w:color w:val="000000" w:themeColor="text1"/>
        </w:rPr>
        <w:t xml:space="preserve">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IBL Banca S.p.A.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 xml:space="preserve">Ing Bank N.V. – Milan </w:t>
      </w:r>
      <w:proofErr w:type="spellStart"/>
      <w:r w:rsidRPr="005602D1">
        <w:rPr>
          <w:rFonts w:asciiTheme="majorHAnsi" w:eastAsia="Times New Roman" w:hAnsiTheme="majorHAnsi" w:cstheme="majorHAnsi"/>
          <w:color w:val="000000" w:themeColor="text1"/>
        </w:rPr>
        <w:t>Branch</w:t>
      </w:r>
      <w:proofErr w:type="spellEnd"/>
      <w:r>
        <w:rPr>
          <w:rFonts w:asciiTheme="majorHAnsi" w:eastAsia="Times New Roman" w:hAnsiTheme="majorHAnsi" w:cstheme="majorHAnsi"/>
          <w:color w:val="000000" w:themeColor="text1"/>
        </w:rPr>
        <w:t xml:space="preserve">, </w:t>
      </w:r>
      <w:r w:rsidRPr="005602D1">
        <w:rPr>
          <w:rFonts w:asciiTheme="majorHAnsi" w:eastAsia="Times New Roman" w:hAnsiTheme="majorHAnsi" w:cstheme="majorHAnsi"/>
          <w:color w:val="000000" w:themeColor="text1"/>
        </w:rPr>
        <w:t>Centro Veneto Bassano</w:t>
      </w:r>
      <w:r>
        <w:rPr>
          <w:rFonts w:asciiTheme="majorHAnsi" w:eastAsia="Times New Roman" w:hAnsiTheme="majorHAnsi" w:cstheme="majorHAnsi"/>
          <w:color w:val="000000" w:themeColor="text1"/>
        </w:rPr>
        <w:t xml:space="preserve">. </w:t>
      </w:r>
    </w:p>
    <w:p w14:paraId="7C99272B" w14:textId="77777777" w:rsidR="005602D1" w:rsidRDefault="005602D1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46854F82" w14:textId="257DAB36" w:rsidR="00735F62" w:rsidRDefault="00735F62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611DFA20" w14:textId="561190B7" w:rsidR="00053E3F" w:rsidRDefault="00053E3F" w:rsidP="00FE78F6">
      <w:pPr>
        <w:spacing w:after="0" w:line="276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209440E1" w14:textId="77777777" w:rsidR="009B6188" w:rsidRPr="00333D5E" w:rsidRDefault="009B6188" w:rsidP="009B6188">
      <w:pPr>
        <w:spacing w:after="0" w:line="240" w:lineRule="auto"/>
        <w:jc w:val="both"/>
        <w:rPr>
          <w:rFonts w:asciiTheme="majorHAnsi" w:hAnsiTheme="majorHAnsi"/>
          <w:b/>
          <w:i/>
          <w:iCs/>
          <w:sz w:val="24"/>
        </w:rPr>
      </w:pPr>
      <w:r>
        <w:rPr>
          <w:rFonts w:asciiTheme="majorHAnsi" w:hAnsiTheme="majorHAnsi"/>
          <w:b/>
          <w:i/>
          <w:iCs/>
          <w:sz w:val="24"/>
        </w:rPr>
        <w:t xml:space="preserve">24MAX </w:t>
      </w:r>
      <w:r w:rsidRPr="00333D5E">
        <w:rPr>
          <w:rFonts w:asciiTheme="majorHAnsi" w:hAnsiTheme="majorHAnsi"/>
          <w:b/>
          <w:i/>
          <w:iCs/>
          <w:sz w:val="24"/>
        </w:rPr>
        <w:t>PROFILO AZIENDALE</w:t>
      </w:r>
    </w:p>
    <w:p w14:paraId="7289CCC7" w14:textId="3C6E8F45" w:rsidR="009B6188" w:rsidRDefault="009B6188" w:rsidP="009B6188">
      <w:pPr>
        <w:pStyle w:val="NormaleWeb"/>
        <w:shd w:val="clear" w:color="auto" w:fill="FFFFFF"/>
        <w:spacing w:after="0" w:afterAutospacing="0"/>
        <w:jc w:val="both"/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</w:pPr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24MAX Spa è la Società di Mediazione Creditizia ideata e realizzata per dare una risposta concreta all’esigenza di consulenza finanziaria della clientela che compra casa affidandosi ad una Agenzia Immobiliare RE/MAX, in tempo reale. 24</w:t>
      </w:r>
      <w:r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MAX</w:t>
      </w:r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è partecipata da RE/MAX Italia Spa e 24Finance Spa. La mission è completare la Customer Experience della clientela, dalla scelta dell’abitazione all’ottenimento delle risorse finanziarie necessarie per l’acquisto. Nelle </w:t>
      </w:r>
      <w:r w:rsidR="00D561B6" w:rsidRPr="00D561B6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500</w:t>
      </w:r>
      <w:r w:rsidRPr="00D561B6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agenzie RE/MAX in Italia, in cui operano oltre </w:t>
      </w:r>
      <w:r w:rsidR="00D561B6" w:rsidRPr="00D561B6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5.000</w:t>
      </w:r>
      <w:r w:rsidRPr="00D561B6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consulenti</w:t>
      </w:r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immobiliari affiliati, sono stati allestiti corner finanziari in cui operano i Credit </w:t>
      </w:r>
      <w:proofErr w:type="spellStart"/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Specialist</w:t>
      </w:r>
      <w:proofErr w:type="spellEnd"/>
      <w:r w:rsidRPr="00333D5E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di 24MAX, professionisti selezionati tra i migliori presenti sul mercato del credito per la loro competenza ed esperienza. </w:t>
      </w:r>
    </w:p>
    <w:p w14:paraId="2B81F4B7" w14:textId="77777777" w:rsidR="009B6188" w:rsidRPr="00206087" w:rsidRDefault="009B6188" w:rsidP="009B6188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</w:pPr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Ad oggi 24MAX ha attivato convenzioni con primari istituti di credito nazionali e territoriali, quali: Agos, Banca Centro Lazio, Banca Progetto, BCC di Roma, BNL, Cassa di Risparmio di Asti, Centro Veneto Bassano Banca, </w:t>
      </w:r>
      <w:proofErr w:type="gram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CheBanca!,</w:t>
      </w:r>
      <w:proofErr w:type="gram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 </w:t>
      </w:r>
      <w:proofErr w:type="spell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Compass</w:t>
      </w:r>
      <w:proofErr w:type="spell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 xml:space="preserve">, Credit Agricole, Extra Banca, </w:t>
      </w:r>
      <w:proofErr w:type="spellStart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Fincontinuo</w:t>
      </w:r>
      <w:proofErr w:type="spellEnd"/>
      <w:r w:rsidRPr="00FE18C4">
        <w:rPr>
          <w:rFonts w:asciiTheme="majorHAnsi" w:eastAsiaTheme="minorHAnsi" w:hAnsiTheme="majorHAnsi" w:cstheme="minorBidi"/>
          <w:bCs/>
          <w:i/>
          <w:iCs/>
          <w:sz w:val="22"/>
          <w:szCs w:val="22"/>
          <w:lang w:eastAsia="en-US"/>
        </w:rPr>
        <w:t>, Gruppo Creval, IBL Banca, ING Bank.</w:t>
      </w:r>
    </w:p>
    <w:p w14:paraId="3395E53A" w14:textId="77777777" w:rsidR="009B6188" w:rsidRDefault="009B6188" w:rsidP="009B6188">
      <w:pPr>
        <w:spacing w:line="360" w:lineRule="auto"/>
        <w:jc w:val="both"/>
        <w:rPr>
          <w:sz w:val="28"/>
          <w:szCs w:val="28"/>
        </w:rPr>
      </w:pPr>
    </w:p>
    <w:p w14:paraId="1887A642" w14:textId="77777777" w:rsidR="009B6188" w:rsidRDefault="009B6188" w:rsidP="009B6188">
      <w:pPr>
        <w:spacing w:after="0"/>
        <w:rPr>
          <w:rFonts w:ascii="Calibri Light" w:hAnsi="Calibri Light" w:cs="Calibri Light"/>
          <w:b/>
          <w:bCs/>
          <w:color w:val="000000"/>
          <w:u w:val="single"/>
        </w:rPr>
      </w:pPr>
      <w:r>
        <w:rPr>
          <w:rFonts w:ascii="Calibri Light" w:hAnsi="Calibri Light" w:cs="Calibri Light"/>
          <w:b/>
          <w:bCs/>
          <w:color w:val="000000"/>
          <w:u w:val="single"/>
        </w:rPr>
        <w:t xml:space="preserve">Pinkommunication </w:t>
      </w:r>
      <w:proofErr w:type="spellStart"/>
      <w:r>
        <w:rPr>
          <w:rFonts w:ascii="Calibri Light" w:hAnsi="Calibri Light" w:cs="Calibri Light"/>
          <w:b/>
          <w:bCs/>
          <w:color w:val="000000"/>
          <w:u w:val="single"/>
        </w:rPr>
        <w:t>srl</w:t>
      </w:r>
      <w:proofErr w:type="spellEnd"/>
      <w:r>
        <w:rPr>
          <w:rFonts w:ascii="Calibri Light" w:hAnsi="Calibri Light" w:cs="Calibri Light"/>
          <w:b/>
          <w:bCs/>
          <w:color w:val="000000"/>
          <w:u w:val="single"/>
        </w:rPr>
        <w:t xml:space="preserve"> - Ufficio stampa 24MAX </w:t>
      </w:r>
    </w:p>
    <w:p w14:paraId="2701F0B2" w14:textId="77777777" w:rsidR="009B6188" w:rsidRDefault="009B6188" w:rsidP="009B618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Cristina Cortellezzi – Laura Premoli – Claudia Valerani </w:t>
      </w:r>
    </w:p>
    <w:p w14:paraId="107B916B" w14:textId="77777777" w:rsidR="009B6188" w:rsidRDefault="00672E5B" w:rsidP="009B6188">
      <w:pPr>
        <w:spacing w:after="0"/>
        <w:rPr>
          <w:rFonts w:ascii="Calibri Light" w:hAnsi="Calibri Light" w:cs="Calibri Light"/>
          <w:color w:val="000000"/>
        </w:rPr>
      </w:pPr>
      <w:hyperlink r:id="rId9" w:history="1">
        <w:r w:rsidR="009B6188">
          <w:rPr>
            <w:rStyle w:val="Collegamentoipertestuale"/>
            <w:rFonts w:ascii="Calibri Light" w:hAnsi="Calibri Light" w:cs="Calibri Light"/>
            <w:color w:val="000000"/>
          </w:rPr>
          <w:t>info@pinkommunication.it</w:t>
        </w:r>
      </w:hyperlink>
      <w:r w:rsidR="009B6188">
        <w:rPr>
          <w:rFonts w:ascii="Calibri Light" w:hAnsi="Calibri Light" w:cs="Calibri Light"/>
          <w:color w:val="000000"/>
        </w:rPr>
        <w:t xml:space="preserve"> </w:t>
      </w:r>
    </w:p>
    <w:p w14:paraId="6F86648D" w14:textId="77777777" w:rsidR="009B6188" w:rsidRDefault="009B6188" w:rsidP="009B6188">
      <w:pPr>
        <w:spacing w:after="0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M. 340 1044227</w:t>
      </w:r>
    </w:p>
    <w:p w14:paraId="11CC5549" w14:textId="77777777" w:rsidR="009B6188" w:rsidRPr="00333D5E" w:rsidRDefault="009B6188" w:rsidP="009B6188">
      <w:pPr>
        <w:jc w:val="both"/>
        <w:rPr>
          <w:rFonts w:asciiTheme="majorHAnsi" w:hAnsiTheme="majorHAnsi"/>
        </w:rPr>
      </w:pPr>
    </w:p>
    <w:p w14:paraId="52FD02EA" w14:textId="77777777" w:rsidR="00B175E9" w:rsidRPr="00333D5E" w:rsidRDefault="00B175E9" w:rsidP="009B6188">
      <w:pPr>
        <w:spacing w:after="0"/>
        <w:rPr>
          <w:rFonts w:asciiTheme="majorHAnsi" w:hAnsiTheme="majorHAnsi"/>
        </w:rPr>
      </w:pPr>
    </w:p>
    <w:sectPr w:rsidR="00B175E9" w:rsidRPr="00333D5E" w:rsidSect="003424DE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8883E" w14:textId="77777777" w:rsidR="008B0921" w:rsidRDefault="008B0921">
      <w:pPr>
        <w:spacing w:after="0" w:line="240" w:lineRule="auto"/>
      </w:pPr>
      <w:r>
        <w:separator/>
      </w:r>
    </w:p>
  </w:endnote>
  <w:endnote w:type="continuationSeparator" w:id="0">
    <w:p w14:paraId="166C4AA7" w14:textId="77777777" w:rsidR="008B0921" w:rsidRDefault="008B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CA398" w14:textId="77777777" w:rsidR="008B0921" w:rsidRDefault="008B0921">
      <w:pPr>
        <w:spacing w:after="0" w:line="240" w:lineRule="auto"/>
      </w:pPr>
      <w:r>
        <w:separator/>
      </w:r>
    </w:p>
  </w:footnote>
  <w:footnote w:type="continuationSeparator" w:id="0">
    <w:p w14:paraId="0C15CB74" w14:textId="77777777" w:rsidR="008B0921" w:rsidRDefault="008B0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9EADC" w14:textId="0B375FA2" w:rsidR="008D1525" w:rsidRPr="008362E7" w:rsidRDefault="00D3255D" w:rsidP="0067023A">
    <w:pPr>
      <w:jc w:val="right"/>
      <w:rPr>
        <w:b/>
        <w:color w:val="FFFFFF" w:themeColor="background1"/>
        <w:sz w:val="20"/>
        <w:szCs w:val="20"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460A9FB5" wp14:editId="209DB327">
          <wp:simplePos x="0" y="0"/>
          <wp:positionH relativeFrom="column">
            <wp:posOffset>53340</wp:posOffset>
          </wp:positionH>
          <wp:positionV relativeFrom="paragraph">
            <wp:posOffset>-22860</wp:posOffset>
          </wp:positionV>
          <wp:extent cx="1375410" cy="411480"/>
          <wp:effectExtent l="19050" t="0" r="0" b="0"/>
          <wp:wrapTight wrapText="bothSides">
            <wp:wrapPolygon edited="0">
              <wp:start x="598" y="0"/>
              <wp:lineTo x="-299" y="3000"/>
              <wp:lineTo x="-299" y="21000"/>
              <wp:lineTo x="21540" y="21000"/>
              <wp:lineTo x="21540" y="20000"/>
              <wp:lineTo x="20942" y="16000"/>
              <wp:lineTo x="21540" y="1000"/>
              <wp:lineTo x="21540" y="0"/>
              <wp:lineTo x="598" y="0"/>
            </wp:wrapPolygon>
          </wp:wrapTight>
          <wp:docPr id="2" name="Immagine 1" descr="24m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4m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411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75E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65B04F" wp14:editId="326EECD8">
              <wp:simplePos x="0" y="0"/>
              <wp:positionH relativeFrom="column">
                <wp:posOffset>1575435</wp:posOffset>
              </wp:positionH>
              <wp:positionV relativeFrom="paragraph">
                <wp:posOffset>165735</wp:posOffset>
              </wp:positionV>
              <wp:extent cx="4567555" cy="222250"/>
              <wp:effectExtent l="0" t="0" r="23495" b="25400"/>
              <wp:wrapNone/>
              <wp:docPr id="3" name="Rettango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7555" cy="222250"/>
                      </a:xfrm>
                      <a:prstGeom prst="rect">
                        <a:avLst/>
                      </a:prstGeom>
                      <a:solidFill>
                        <a:srgbClr val="E72525"/>
                      </a:solidFill>
                      <a:ln>
                        <a:solidFill>
                          <a:srgbClr val="E7252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29B6B8" w14:textId="77777777" w:rsidR="008D1525" w:rsidRPr="008362E7" w:rsidRDefault="00D3255D" w:rsidP="0067023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8362E7"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65B04F" id="Rettangolo 3" o:spid="_x0000_s1026" style="position:absolute;left:0;text-align:left;margin-left:124.05pt;margin-top:13.05pt;width:359.6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NfqQIAANMFAAAOAAAAZHJzL2Uyb0RvYy54bWysVE1v2zAMvQ/YfxB0X524cbsZdYqgXYcB&#10;QVu0HXpWZCk2JouapMTOfv0o+WNZV+xQzAdBNB+fyCeRF5ddo8heWFeDLuj8ZEaJ0BzKWm8L+u3p&#10;5sNHSpxnumQKtCjoQTh6uXz/7qI1uUihAlUKS5BEu7w1Ba28N3mSOF6JhrkTMEKjU4JtmEfTbpPS&#10;shbZG5Wks9lZ0oItjQUunMO/172TLiO/lIL7Oymd8EQVFHPzcbVx3YQ1WV6wfGuZqWo+pMHekEXD&#10;ao2HTlTXzDOys/VfVE3NLTiQ/oRDk4CUNRexBqxmPntRzWPFjIi1oDjOTDK5/0fLb/f3ltRlQU8p&#10;0azBK3oQHi9sCwrIadCnNS5H2KO5t6FCZ9bAvzt0JH94guEGTCdtE7BYH+mi2IdJbNF5wvHnIjs7&#10;z7KMEo6+FL8s3kbC8jHaWOe/CGhI2BTU4mVGjdl+7Xw4n+UjJCYGqi5vaqWiYbebK2XJnuHFfz5P&#10;szQLtWCIO4Yp/bZI5AmhUYG+6Fi+PygRCJV+EBJVxTLTmHJ8z2JKiHEutJ/3roqVos8zm+E3phk6&#10;IETEpCNhYJZY38Q9EIzInmTk7qsd8CFUxHaYgmf/SqwPniLiyaD9FNzUGuxrBAqrGk7u8aNIvTRB&#10;Jd9tOoSE7QbKAz4/C31fOsNvarzrNXP+nllsRGxZHC7+DhepoC0oDDtKKrA/X/sf8Ngf6KWkxcYu&#10;qPuxY1ZQor5q7JxP88UiTIJoLLLzFA177Nkce/SuuQJ8QnMcY4bHbcB7NW6lheYZZ9AqnIoupjme&#10;XVDu7Whc+X7g4BTjYrWKMOx+w/xaPxoeyIPA4S0/dc/MmuHBe2yVWxiHAMtfvPseGyI1rHYeZB2b&#10;4reug/Q4OeIbGqZcGE3HdkT9nsXLXwAAAP//AwBQSwMEFAAGAAgAAAAhADCxAfTeAAAACQEAAA8A&#10;AABkcnMvZG93bnJldi54bWxMj8FqwzAMhu+DvYNRYbfVcShZl8UpZZDDYAzW9gHc2I5DYzmL3TR7&#10;+2mn7SQJffz6VO0WP7DZTLEPKEGsM2AG26B77CScjs3jFlhMCrUaAhoJ3ybCrr6/q1Spww0/zXxI&#10;HaMQjKWS4FIaS85j64xXcR1Gg7SzYfIq0Th1XE/qRuF+4HmWFdyrHumCU6N5daa9HK5ewru11rfu&#10;7Si0PX3l80cj9o2Q8mG17F+AJbOkPxh+9UkdanI6hyvqyAYJ+WYrCKWmoErAc/G0AXaWUAgBvK74&#10;/w/qHwAAAP//AwBQSwECLQAUAAYACAAAACEAtoM4kv4AAADhAQAAEwAAAAAAAAAAAAAAAAAAAAAA&#10;W0NvbnRlbnRfVHlwZXNdLnhtbFBLAQItABQABgAIAAAAIQA4/SH/1gAAAJQBAAALAAAAAAAAAAAA&#10;AAAAAC8BAABfcmVscy8ucmVsc1BLAQItABQABgAIAAAAIQBiH0NfqQIAANMFAAAOAAAAAAAAAAAA&#10;AAAAAC4CAABkcnMvZTJvRG9jLnhtbFBLAQItABQABgAIAAAAIQAwsQH03gAAAAkBAAAPAAAAAAAA&#10;AAAAAAAAAAMFAABkcnMvZG93bnJldi54bWxQSwUGAAAAAAQABADzAAAADgYAAAAA&#10;" fillcolor="#e72525" strokecolor="#e72525" strokeweight="1pt">
              <v:path arrowok="t"/>
              <v:textbox>
                <w:txbxContent>
                  <w:p w14:paraId="0B29B6B8" w14:textId="77777777" w:rsidR="008D1525" w:rsidRPr="008362E7" w:rsidRDefault="00D3255D" w:rsidP="0067023A">
                    <w:pPr>
                      <w:jc w:val="right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8362E7"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COMUNICATO STAMPA</w:t>
                    </w:r>
                  </w:p>
                </w:txbxContent>
              </v:textbox>
            </v:rect>
          </w:pict>
        </mc:Fallback>
      </mc:AlternateContent>
    </w:r>
    <w:r w:rsidRPr="0067023A">
      <w:rPr>
        <w:b/>
        <w:color w:val="FFFFFF" w:themeColor="background1"/>
        <w:sz w:val="20"/>
        <w:szCs w:val="20"/>
      </w:rPr>
      <w:t xml:space="preserve"> </w:t>
    </w:r>
    <w:r w:rsidRPr="008362E7">
      <w:rPr>
        <w:b/>
        <w:color w:val="FFFFFF" w:themeColor="background1"/>
        <w:sz w:val="20"/>
        <w:szCs w:val="20"/>
      </w:rPr>
      <w:t>COMUNICATO STAMPA</w:t>
    </w:r>
  </w:p>
  <w:p w14:paraId="2D63EA51" w14:textId="77777777" w:rsidR="008D1525" w:rsidRDefault="00672E5B" w:rsidP="0067023A">
    <w:pPr>
      <w:pStyle w:val="Intestazione"/>
    </w:pPr>
  </w:p>
  <w:p w14:paraId="6D20EA95" w14:textId="6ABFB978" w:rsidR="008D1525" w:rsidRDefault="00672E5B">
    <w:pPr>
      <w:pStyle w:val="Intestazione"/>
    </w:pPr>
  </w:p>
  <w:p w14:paraId="583B18BE" w14:textId="77777777" w:rsidR="00053E3F" w:rsidRDefault="00053E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9FC"/>
    <w:multiLevelType w:val="hybridMultilevel"/>
    <w:tmpl w:val="03985B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B4FE2"/>
    <w:multiLevelType w:val="multilevel"/>
    <w:tmpl w:val="A418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E96209"/>
    <w:multiLevelType w:val="hybridMultilevel"/>
    <w:tmpl w:val="B80641FC"/>
    <w:lvl w:ilvl="0" w:tplc="7B98DAD4">
      <w:start w:val="2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83F21"/>
    <w:multiLevelType w:val="hybridMultilevel"/>
    <w:tmpl w:val="3EE8A3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94415"/>
    <w:multiLevelType w:val="hybridMultilevel"/>
    <w:tmpl w:val="8E0A7BB6"/>
    <w:lvl w:ilvl="0" w:tplc="2604F250">
      <w:start w:val="2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74E9F"/>
    <w:multiLevelType w:val="hybridMultilevel"/>
    <w:tmpl w:val="F2B49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77B2A"/>
    <w:multiLevelType w:val="hybridMultilevel"/>
    <w:tmpl w:val="76DE7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D27F0"/>
    <w:multiLevelType w:val="hybridMultilevel"/>
    <w:tmpl w:val="FE0A51FA"/>
    <w:lvl w:ilvl="0" w:tplc="3CFE4AB2">
      <w:start w:val="27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2F2C28"/>
    <w:multiLevelType w:val="hybridMultilevel"/>
    <w:tmpl w:val="7E28682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41165"/>
    <w:multiLevelType w:val="hybridMultilevel"/>
    <w:tmpl w:val="FD28B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6176"/>
    <w:rsid w:val="00002506"/>
    <w:rsid w:val="00016576"/>
    <w:rsid w:val="0003014C"/>
    <w:rsid w:val="000479AF"/>
    <w:rsid w:val="00053E3F"/>
    <w:rsid w:val="00056854"/>
    <w:rsid w:val="0006114E"/>
    <w:rsid w:val="000665F4"/>
    <w:rsid w:val="00076176"/>
    <w:rsid w:val="00090FFB"/>
    <w:rsid w:val="00095ACD"/>
    <w:rsid w:val="000D4E09"/>
    <w:rsid w:val="000D6725"/>
    <w:rsid w:val="00102B36"/>
    <w:rsid w:val="00134BC7"/>
    <w:rsid w:val="00156F97"/>
    <w:rsid w:val="00163B64"/>
    <w:rsid w:val="00167998"/>
    <w:rsid w:val="0017302F"/>
    <w:rsid w:val="001748B5"/>
    <w:rsid w:val="00175FD3"/>
    <w:rsid w:val="00177DB4"/>
    <w:rsid w:val="00190E53"/>
    <w:rsid w:val="001E0687"/>
    <w:rsid w:val="001E1ABF"/>
    <w:rsid w:val="001E6543"/>
    <w:rsid w:val="00206087"/>
    <w:rsid w:val="00237C31"/>
    <w:rsid w:val="00263B3A"/>
    <w:rsid w:val="002A0104"/>
    <w:rsid w:val="002B7821"/>
    <w:rsid w:val="00362317"/>
    <w:rsid w:val="00372A53"/>
    <w:rsid w:val="003A3007"/>
    <w:rsid w:val="003A5BEA"/>
    <w:rsid w:val="0042232D"/>
    <w:rsid w:val="0042437A"/>
    <w:rsid w:val="00443FF2"/>
    <w:rsid w:val="004477BF"/>
    <w:rsid w:val="00475D38"/>
    <w:rsid w:val="004C4F7A"/>
    <w:rsid w:val="004D3605"/>
    <w:rsid w:val="005174E8"/>
    <w:rsid w:val="005479C9"/>
    <w:rsid w:val="005602D1"/>
    <w:rsid w:val="005A71E6"/>
    <w:rsid w:val="005B1E8C"/>
    <w:rsid w:val="005B4383"/>
    <w:rsid w:val="005B75FF"/>
    <w:rsid w:val="005D42A6"/>
    <w:rsid w:val="005F269C"/>
    <w:rsid w:val="006062A1"/>
    <w:rsid w:val="0061296E"/>
    <w:rsid w:val="00672E5B"/>
    <w:rsid w:val="00687D84"/>
    <w:rsid w:val="006C6366"/>
    <w:rsid w:val="006D2903"/>
    <w:rsid w:val="006D4162"/>
    <w:rsid w:val="006E21E2"/>
    <w:rsid w:val="006F7DB0"/>
    <w:rsid w:val="007043BF"/>
    <w:rsid w:val="007261F0"/>
    <w:rsid w:val="00735F62"/>
    <w:rsid w:val="00743B84"/>
    <w:rsid w:val="00753383"/>
    <w:rsid w:val="00787274"/>
    <w:rsid w:val="00816AC1"/>
    <w:rsid w:val="008275B8"/>
    <w:rsid w:val="00831E88"/>
    <w:rsid w:val="00852589"/>
    <w:rsid w:val="00870D1C"/>
    <w:rsid w:val="00873435"/>
    <w:rsid w:val="00875B16"/>
    <w:rsid w:val="008B0921"/>
    <w:rsid w:val="008D43AA"/>
    <w:rsid w:val="008D5051"/>
    <w:rsid w:val="008F14A6"/>
    <w:rsid w:val="008F18F2"/>
    <w:rsid w:val="00904611"/>
    <w:rsid w:val="0091661F"/>
    <w:rsid w:val="00920C1C"/>
    <w:rsid w:val="00942B90"/>
    <w:rsid w:val="00950D9B"/>
    <w:rsid w:val="00953431"/>
    <w:rsid w:val="009821CE"/>
    <w:rsid w:val="00990328"/>
    <w:rsid w:val="00990F15"/>
    <w:rsid w:val="009A61D7"/>
    <w:rsid w:val="009B6188"/>
    <w:rsid w:val="009E0A18"/>
    <w:rsid w:val="00A043A2"/>
    <w:rsid w:val="00A30674"/>
    <w:rsid w:val="00A7030C"/>
    <w:rsid w:val="00AD1DEC"/>
    <w:rsid w:val="00AD1DF3"/>
    <w:rsid w:val="00AE3593"/>
    <w:rsid w:val="00AE4D70"/>
    <w:rsid w:val="00B0075A"/>
    <w:rsid w:val="00B02363"/>
    <w:rsid w:val="00B175E9"/>
    <w:rsid w:val="00B51397"/>
    <w:rsid w:val="00C044CF"/>
    <w:rsid w:val="00C24749"/>
    <w:rsid w:val="00C54440"/>
    <w:rsid w:val="00C801B8"/>
    <w:rsid w:val="00CC543F"/>
    <w:rsid w:val="00CC588D"/>
    <w:rsid w:val="00CD4849"/>
    <w:rsid w:val="00D3255D"/>
    <w:rsid w:val="00D561B6"/>
    <w:rsid w:val="00D93F78"/>
    <w:rsid w:val="00DA4920"/>
    <w:rsid w:val="00DF1891"/>
    <w:rsid w:val="00DF6F56"/>
    <w:rsid w:val="00E27BB2"/>
    <w:rsid w:val="00E747DC"/>
    <w:rsid w:val="00EB0F80"/>
    <w:rsid w:val="00EC15E1"/>
    <w:rsid w:val="00EC27CB"/>
    <w:rsid w:val="00ED0822"/>
    <w:rsid w:val="00F338EC"/>
    <w:rsid w:val="00F77D4F"/>
    <w:rsid w:val="00FE18C4"/>
    <w:rsid w:val="00FE4A1B"/>
    <w:rsid w:val="00FE78F6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65C7190"/>
  <w15:docId w15:val="{74FE00CA-C08C-4A4E-B4EC-95690D94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75E9"/>
  </w:style>
  <w:style w:type="paragraph" w:styleId="Titolo2">
    <w:name w:val="heading 2"/>
    <w:basedOn w:val="Normale"/>
    <w:link w:val="Titolo2Carattere"/>
    <w:uiPriority w:val="9"/>
    <w:qFormat/>
    <w:rsid w:val="002A01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175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75E9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75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5E9"/>
  </w:style>
  <w:style w:type="paragraph" w:styleId="NormaleWeb">
    <w:name w:val="Normal (Web)"/>
    <w:basedOn w:val="Normale"/>
    <w:uiPriority w:val="99"/>
    <w:unhideWhenUsed/>
    <w:rsid w:val="00B1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A010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2A010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DF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5444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27BB2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AD1D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AD1DEC"/>
    <w:rPr>
      <w:rFonts w:ascii="Calibri" w:hAnsi="Calibri" w:cs="Consolas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743B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B84"/>
  </w:style>
  <w:style w:type="character" w:styleId="Rimandocommento">
    <w:name w:val="annotation reference"/>
    <w:basedOn w:val="Carpredefinitoparagrafo"/>
    <w:uiPriority w:val="99"/>
    <w:semiHidden/>
    <w:unhideWhenUsed/>
    <w:rsid w:val="003623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3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3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3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317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5685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67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max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24max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pinkommunicatio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3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15</cp:revision>
  <dcterms:created xsi:type="dcterms:W3CDTF">2021-04-27T12:59:00Z</dcterms:created>
  <dcterms:modified xsi:type="dcterms:W3CDTF">2021-05-10T09:32:00Z</dcterms:modified>
</cp:coreProperties>
</file>