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2F199" w14:textId="52E34ABE" w:rsidR="00F051BD" w:rsidRPr="00F051BD" w:rsidRDefault="00F051BD">
      <w:pPr>
        <w:pStyle w:val="NormaleWeb"/>
        <w:shd w:val="clear" w:color="auto" w:fill="FFFFFF"/>
        <w:spacing w:before="0" w:beforeAutospacing="0" w:after="0" w:afterAutospacing="0" w:line="276" w:lineRule="auto"/>
        <w:jc w:val="center"/>
        <w:rPr>
          <w:rFonts w:ascii="Calibri Light" w:hAnsi="Calibri Light"/>
          <w:b/>
          <w:color w:val="FF0000"/>
          <w:sz w:val="32"/>
          <w:szCs w:val="32"/>
        </w:rPr>
      </w:pPr>
      <w:r w:rsidRPr="00A41305">
        <w:rPr>
          <w:rFonts w:ascii="Calibri Light" w:hAnsi="Calibri Light"/>
          <w:b/>
          <w:color w:val="FF0000"/>
          <w:sz w:val="32"/>
          <w:szCs w:val="32"/>
        </w:rPr>
        <w:t>FACILITARE L’ACCESSO AL CREDITO</w:t>
      </w:r>
      <w:r w:rsidRPr="00F051BD">
        <w:rPr>
          <w:rFonts w:ascii="Calibri Light" w:hAnsi="Calibri Light"/>
          <w:b/>
          <w:color w:val="FF0000"/>
          <w:sz w:val="32"/>
          <w:szCs w:val="32"/>
        </w:rPr>
        <w:t xml:space="preserve"> </w:t>
      </w:r>
    </w:p>
    <w:p w14:paraId="5338CD17" w14:textId="283C7831" w:rsidR="00F051BD" w:rsidRPr="00F051BD" w:rsidRDefault="00F051BD">
      <w:pPr>
        <w:pStyle w:val="NormaleWeb"/>
        <w:shd w:val="clear" w:color="auto" w:fill="FFFFFF"/>
        <w:spacing w:before="0" w:beforeAutospacing="0" w:after="0" w:afterAutospacing="0" w:line="276" w:lineRule="auto"/>
        <w:jc w:val="center"/>
        <w:rPr>
          <w:rFonts w:ascii="Calibri Light" w:hAnsi="Calibri Light"/>
          <w:b/>
          <w:color w:val="FF0000"/>
          <w:sz w:val="28"/>
          <w:szCs w:val="28"/>
        </w:rPr>
      </w:pPr>
      <w:r w:rsidRPr="00A41305">
        <w:rPr>
          <w:rFonts w:ascii="Calibri Light" w:hAnsi="Calibri Light"/>
          <w:b/>
          <w:color w:val="FF0000"/>
          <w:sz w:val="28"/>
          <w:szCs w:val="28"/>
        </w:rPr>
        <w:t>24MAX risponde con efficienza al dinamismo del real estate</w:t>
      </w:r>
      <w:r w:rsidRPr="00F051BD">
        <w:rPr>
          <w:rFonts w:ascii="Calibri Light" w:hAnsi="Calibri Light"/>
          <w:b/>
          <w:color w:val="FF0000"/>
          <w:sz w:val="28"/>
          <w:szCs w:val="28"/>
        </w:rPr>
        <w:t xml:space="preserve"> </w:t>
      </w:r>
    </w:p>
    <w:p w14:paraId="26DFD6BA" w14:textId="38D2F10A" w:rsidR="0006114E" w:rsidRPr="00F051BD" w:rsidRDefault="00F051BD" w:rsidP="00A41305">
      <w:pPr>
        <w:pStyle w:val="NormaleWeb"/>
        <w:shd w:val="clear" w:color="auto" w:fill="FFFFFF"/>
        <w:spacing w:before="0" w:beforeAutospacing="0" w:after="0" w:afterAutospacing="0" w:line="276" w:lineRule="auto"/>
        <w:jc w:val="center"/>
        <w:rPr>
          <w:rFonts w:ascii="Calibri Light" w:hAnsi="Calibri Light"/>
          <w:b/>
          <w:color w:val="FF0000"/>
          <w:sz w:val="28"/>
          <w:szCs w:val="28"/>
        </w:rPr>
      </w:pPr>
      <w:r w:rsidRPr="00F051BD">
        <w:rPr>
          <w:rFonts w:ascii="Calibri Light" w:hAnsi="Calibri Light"/>
          <w:b/>
          <w:color w:val="FF0000"/>
          <w:sz w:val="28"/>
          <w:szCs w:val="28"/>
        </w:rPr>
        <w:t>e nel 2021 mette a segno una crescita dell’82%</w:t>
      </w:r>
      <w:r>
        <w:rPr>
          <w:rFonts w:ascii="Calibri Light" w:hAnsi="Calibri Light"/>
          <w:b/>
          <w:color w:val="FF0000"/>
          <w:sz w:val="28"/>
          <w:szCs w:val="28"/>
        </w:rPr>
        <w:t>,</w:t>
      </w:r>
      <w:r w:rsidRPr="00F051BD">
        <w:rPr>
          <w:rFonts w:ascii="Calibri Light" w:hAnsi="Calibri Light"/>
          <w:b/>
          <w:color w:val="FF0000"/>
          <w:sz w:val="28"/>
          <w:szCs w:val="28"/>
        </w:rPr>
        <w:t xml:space="preserve"> con un intermediato di 142M di </w:t>
      </w:r>
      <w:r>
        <w:rPr>
          <w:rFonts w:ascii="Calibri Light" w:hAnsi="Calibri Light"/>
          <w:b/>
          <w:color w:val="FF0000"/>
          <w:sz w:val="28"/>
          <w:szCs w:val="28"/>
        </w:rPr>
        <w:t>€</w:t>
      </w:r>
    </w:p>
    <w:p w14:paraId="6034E658" w14:textId="1CE5944C" w:rsidR="00FF19D1" w:rsidRPr="00BA70DE" w:rsidRDefault="00FF19D1" w:rsidP="00D93F78">
      <w:pPr>
        <w:pStyle w:val="NormaleWeb"/>
        <w:shd w:val="clear" w:color="auto" w:fill="FFFFFF"/>
        <w:spacing w:before="0" w:beforeAutospacing="0" w:after="0" w:afterAutospacing="0"/>
        <w:rPr>
          <w:rFonts w:ascii="Calibri Light" w:hAnsi="Calibri Light"/>
          <w:b/>
          <w:color w:val="FF0000"/>
          <w:sz w:val="28"/>
          <w:szCs w:val="28"/>
        </w:rPr>
      </w:pPr>
    </w:p>
    <w:p w14:paraId="6BFCF985" w14:textId="37A7922F" w:rsidR="00CB4B7E" w:rsidRDefault="00F051BD" w:rsidP="00F339EB">
      <w:pPr>
        <w:spacing w:line="276" w:lineRule="auto"/>
        <w:jc w:val="both"/>
        <w:rPr>
          <w:rFonts w:asciiTheme="majorHAnsi" w:hAnsiTheme="majorHAnsi"/>
          <w:bCs/>
        </w:rPr>
      </w:pPr>
      <w:r>
        <w:rPr>
          <w:rFonts w:asciiTheme="majorHAnsi" w:hAnsiTheme="majorHAnsi"/>
          <w:bCs/>
        </w:rPr>
        <w:t>7</w:t>
      </w:r>
      <w:r w:rsidR="00CE0A36">
        <w:rPr>
          <w:rFonts w:asciiTheme="majorHAnsi" w:hAnsiTheme="majorHAnsi"/>
          <w:bCs/>
        </w:rPr>
        <w:t xml:space="preserve"> </w:t>
      </w:r>
      <w:r w:rsidR="001C355C">
        <w:rPr>
          <w:rFonts w:asciiTheme="majorHAnsi" w:hAnsiTheme="majorHAnsi"/>
          <w:bCs/>
        </w:rPr>
        <w:t xml:space="preserve">febbraio </w:t>
      </w:r>
      <w:r w:rsidR="00CE0A36">
        <w:rPr>
          <w:rFonts w:asciiTheme="majorHAnsi" w:hAnsiTheme="majorHAnsi"/>
          <w:bCs/>
        </w:rPr>
        <w:t>2022</w:t>
      </w:r>
      <w:r w:rsidR="0061296E" w:rsidRPr="00EC15E1">
        <w:rPr>
          <w:rFonts w:asciiTheme="majorHAnsi" w:hAnsiTheme="majorHAnsi"/>
          <w:bCs/>
        </w:rPr>
        <w:t xml:space="preserve">: </w:t>
      </w:r>
      <w:r w:rsidR="00464275" w:rsidRPr="00CB4B7E">
        <w:rPr>
          <w:rFonts w:asciiTheme="majorHAnsi" w:hAnsiTheme="majorHAnsi"/>
          <w:bCs/>
        </w:rPr>
        <w:t>“</w:t>
      </w:r>
      <w:r w:rsidR="00060E23">
        <w:rPr>
          <w:rFonts w:asciiTheme="majorHAnsi" w:hAnsiTheme="majorHAnsi"/>
          <w:bCs/>
          <w:i/>
          <w:iCs/>
        </w:rPr>
        <w:t xml:space="preserve">In un anno </w:t>
      </w:r>
      <w:r w:rsidR="00D332A4">
        <w:rPr>
          <w:rFonts w:asciiTheme="majorHAnsi" w:hAnsiTheme="majorHAnsi"/>
          <w:bCs/>
          <w:i/>
          <w:iCs/>
        </w:rPr>
        <w:t>molto</w:t>
      </w:r>
      <w:r w:rsidR="00464275" w:rsidRPr="00CB4B7E">
        <w:rPr>
          <w:rFonts w:asciiTheme="majorHAnsi" w:hAnsiTheme="majorHAnsi"/>
          <w:bCs/>
          <w:i/>
          <w:iCs/>
        </w:rPr>
        <w:t xml:space="preserve"> favorevole per il real estate </w:t>
      </w:r>
      <w:r w:rsidR="009024BB">
        <w:rPr>
          <w:rFonts w:asciiTheme="majorHAnsi" w:hAnsiTheme="majorHAnsi"/>
          <w:bCs/>
          <w:i/>
          <w:iCs/>
        </w:rPr>
        <w:t>e</w:t>
      </w:r>
      <w:r w:rsidR="00464275" w:rsidRPr="00CB4B7E">
        <w:rPr>
          <w:rFonts w:asciiTheme="majorHAnsi" w:hAnsiTheme="majorHAnsi"/>
          <w:bCs/>
          <w:i/>
          <w:iCs/>
        </w:rPr>
        <w:t xml:space="preserve"> il settore creditizio</w:t>
      </w:r>
      <w:r w:rsidR="00060E23">
        <w:rPr>
          <w:rFonts w:asciiTheme="majorHAnsi" w:hAnsiTheme="majorHAnsi"/>
          <w:bCs/>
          <w:i/>
          <w:iCs/>
        </w:rPr>
        <w:t>,</w:t>
      </w:r>
      <w:r w:rsidR="00464275" w:rsidRPr="00CB4B7E">
        <w:rPr>
          <w:rFonts w:asciiTheme="majorHAnsi" w:hAnsiTheme="majorHAnsi"/>
          <w:bCs/>
          <w:i/>
          <w:iCs/>
        </w:rPr>
        <w:t xml:space="preserve"> </w:t>
      </w:r>
      <w:r w:rsidR="009024BB">
        <w:rPr>
          <w:rFonts w:asciiTheme="majorHAnsi" w:hAnsiTheme="majorHAnsi"/>
          <w:bCs/>
          <w:i/>
          <w:iCs/>
        </w:rPr>
        <w:t>abbiamo</w:t>
      </w:r>
      <w:r w:rsidR="00464275" w:rsidRPr="00CB4B7E">
        <w:rPr>
          <w:rFonts w:asciiTheme="majorHAnsi" w:hAnsiTheme="majorHAnsi"/>
          <w:bCs/>
          <w:i/>
          <w:iCs/>
        </w:rPr>
        <w:t xml:space="preserve"> risposto con efficienza al ritrovato dinamismo, offrendo al momento giusto quello di cui i clienti </w:t>
      </w:r>
      <w:r w:rsidR="00060E23">
        <w:rPr>
          <w:rFonts w:asciiTheme="majorHAnsi" w:hAnsiTheme="majorHAnsi"/>
          <w:bCs/>
          <w:i/>
          <w:iCs/>
        </w:rPr>
        <w:t>necessitano</w:t>
      </w:r>
      <w:r w:rsidR="00D332A4">
        <w:rPr>
          <w:rFonts w:asciiTheme="majorHAnsi" w:hAnsiTheme="majorHAnsi"/>
          <w:bCs/>
          <w:i/>
          <w:iCs/>
        </w:rPr>
        <w:t>: u</w:t>
      </w:r>
      <w:r w:rsidR="00464275" w:rsidRPr="00CB4B7E">
        <w:rPr>
          <w:rFonts w:asciiTheme="majorHAnsi" w:hAnsiTheme="majorHAnsi"/>
          <w:bCs/>
          <w:i/>
          <w:iCs/>
        </w:rPr>
        <w:t xml:space="preserve">n servizio di consulenza che possiamo riassumere nella definizione </w:t>
      </w:r>
      <w:r w:rsidR="006F75D1">
        <w:rPr>
          <w:rFonts w:asciiTheme="majorHAnsi" w:hAnsiTheme="majorHAnsi"/>
          <w:bCs/>
          <w:i/>
          <w:iCs/>
        </w:rPr>
        <w:t>‘</w:t>
      </w:r>
      <w:r w:rsidR="00464275" w:rsidRPr="00060E23">
        <w:rPr>
          <w:rFonts w:asciiTheme="majorHAnsi" w:hAnsiTheme="majorHAnsi"/>
          <w:b/>
          <w:i/>
          <w:iCs/>
        </w:rPr>
        <w:t>semplificazione dell’accesso al credito</w:t>
      </w:r>
      <w:r w:rsidR="006F75D1" w:rsidRPr="00060E23">
        <w:rPr>
          <w:rFonts w:asciiTheme="majorHAnsi" w:hAnsiTheme="majorHAnsi"/>
          <w:b/>
          <w:i/>
          <w:iCs/>
        </w:rPr>
        <w:t>’</w:t>
      </w:r>
      <w:r w:rsidR="00464275" w:rsidRPr="00CB4B7E">
        <w:rPr>
          <w:rFonts w:asciiTheme="majorHAnsi" w:hAnsiTheme="majorHAnsi"/>
          <w:bCs/>
        </w:rPr>
        <w:t>”</w:t>
      </w:r>
      <w:r w:rsidR="00CB4B7E" w:rsidRPr="00CB4B7E">
        <w:rPr>
          <w:rFonts w:asciiTheme="majorHAnsi" w:hAnsiTheme="majorHAnsi"/>
          <w:bCs/>
        </w:rPr>
        <w:t xml:space="preserve">, commenta </w:t>
      </w:r>
      <w:r w:rsidR="00CB4B7E" w:rsidRPr="00060E23">
        <w:rPr>
          <w:rFonts w:asciiTheme="majorHAnsi" w:hAnsiTheme="majorHAnsi"/>
          <w:b/>
        </w:rPr>
        <w:t>Riccardo Bernardi</w:t>
      </w:r>
      <w:r w:rsidR="00060E23" w:rsidRPr="00060E23">
        <w:rPr>
          <w:rFonts w:asciiTheme="majorHAnsi" w:hAnsiTheme="majorHAnsi"/>
          <w:b/>
        </w:rPr>
        <w:t>,</w:t>
      </w:r>
      <w:r w:rsidR="00CB4B7E" w:rsidRPr="00060E23">
        <w:rPr>
          <w:rFonts w:asciiTheme="majorHAnsi" w:hAnsiTheme="majorHAnsi"/>
          <w:b/>
        </w:rPr>
        <w:t xml:space="preserve"> </w:t>
      </w:r>
      <w:r w:rsidR="006F75D1" w:rsidRPr="00060E23">
        <w:rPr>
          <w:rFonts w:asciiTheme="majorHAnsi" w:hAnsiTheme="majorHAnsi"/>
          <w:b/>
        </w:rPr>
        <w:t>Chief Development Officer di 24MAX</w:t>
      </w:r>
      <w:r w:rsidR="00CB4B7E" w:rsidRPr="00CB4B7E">
        <w:rPr>
          <w:rFonts w:asciiTheme="majorHAnsi" w:hAnsiTheme="majorHAnsi"/>
          <w:bCs/>
        </w:rPr>
        <w:t xml:space="preserve">. </w:t>
      </w:r>
      <w:r w:rsidR="00D332A4">
        <w:rPr>
          <w:rFonts w:asciiTheme="majorHAnsi" w:hAnsiTheme="majorHAnsi"/>
          <w:bCs/>
        </w:rPr>
        <w:t>La</w:t>
      </w:r>
      <w:r w:rsidR="00464275" w:rsidRPr="00CB4B7E">
        <w:rPr>
          <w:rFonts w:asciiTheme="majorHAnsi" w:hAnsiTheme="majorHAnsi"/>
          <w:bCs/>
        </w:rPr>
        <w:t xml:space="preserve"> formula </w:t>
      </w:r>
      <w:r w:rsidR="00D332A4">
        <w:rPr>
          <w:rFonts w:asciiTheme="majorHAnsi" w:hAnsiTheme="majorHAnsi"/>
          <w:bCs/>
        </w:rPr>
        <w:t xml:space="preserve">proposta da </w:t>
      </w:r>
      <w:hyperlink r:id="rId8" w:history="1">
        <w:r w:rsidR="00D332A4" w:rsidRPr="00060E23">
          <w:rPr>
            <w:rStyle w:val="Collegamentoipertestuale"/>
            <w:rFonts w:asciiTheme="majorHAnsi" w:hAnsiTheme="majorHAnsi"/>
            <w:b/>
          </w:rPr>
          <w:t>24MAX</w:t>
        </w:r>
      </w:hyperlink>
      <w:r w:rsidR="00D332A4" w:rsidRPr="00060E23">
        <w:rPr>
          <w:rFonts w:asciiTheme="majorHAnsi" w:hAnsiTheme="majorHAnsi"/>
          <w:b/>
        </w:rPr>
        <w:t xml:space="preserve">, società di mediazione creditizia del Gruppo </w:t>
      </w:r>
      <w:hyperlink r:id="rId9" w:history="1">
        <w:r w:rsidR="00D332A4" w:rsidRPr="00060E23">
          <w:rPr>
            <w:rStyle w:val="Collegamentoipertestuale"/>
            <w:rFonts w:asciiTheme="majorHAnsi" w:hAnsiTheme="majorHAnsi"/>
            <w:b/>
          </w:rPr>
          <w:t>RE/MAX</w:t>
        </w:r>
      </w:hyperlink>
      <w:r w:rsidR="00D332A4">
        <w:rPr>
          <w:rFonts w:asciiTheme="majorHAnsi" w:hAnsiTheme="majorHAnsi"/>
          <w:bCs/>
        </w:rPr>
        <w:t xml:space="preserve">, </w:t>
      </w:r>
      <w:r w:rsidR="00464275" w:rsidRPr="00CB4B7E">
        <w:rPr>
          <w:rFonts w:asciiTheme="majorHAnsi" w:hAnsiTheme="majorHAnsi"/>
          <w:bCs/>
        </w:rPr>
        <w:t xml:space="preserve">si è rivelata </w:t>
      </w:r>
      <w:r w:rsidR="00060E23">
        <w:rPr>
          <w:rFonts w:asciiTheme="majorHAnsi" w:hAnsiTheme="majorHAnsi"/>
          <w:bCs/>
        </w:rPr>
        <w:t>oltremodo</w:t>
      </w:r>
      <w:r w:rsidR="00464275" w:rsidRPr="00CB4B7E">
        <w:rPr>
          <w:rFonts w:asciiTheme="majorHAnsi" w:hAnsiTheme="majorHAnsi"/>
          <w:bCs/>
        </w:rPr>
        <w:t xml:space="preserve"> vincente in questi mesi di crisi sanitaria durante i quali il distanziamento sociale e gli appuntamenti necessari per accedere </w:t>
      </w:r>
      <w:r w:rsidR="009024BB">
        <w:rPr>
          <w:rFonts w:asciiTheme="majorHAnsi" w:hAnsiTheme="majorHAnsi"/>
          <w:bCs/>
        </w:rPr>
        <w:t>alle banche</w:t>
      </w:r>
      <w:r w:rsidR="00464275" w:rsidRPr="00CB4B7E">
        <w:rPr>
          <w:rFonts w:asciiTheme="majorHAnsi" w:hAnsiTheme="majorHAnsi"/>
          <w:bCs/>
        </w:rPr>
        <w:t xml:space="preserve"> hanno notevolmente complicato una procedura già di per sé non semplice. </w:t>
      </w:r>
    </w:p>
    <w:p w14:paraId="1632E3AA" w14:textId="506272C0" w:rsidR="00306769" w:rsidRDefault="00CB4B7E">
      <w:pPr>
        <w:spacing w:line="276" w:lineRule="auto"/>
        <w:jc w:val="both"/>
        <w:rPr>
          <w:rFonts w:asciiTheme="majorHAnsi" w:hAnsiTheme="majorHAnsi"/>
          <w:bCs/>
        </w:rPr>
      </w:pPr>
      <w:r>
        <w:rPr>
          <w:rFonts w:asciiTheme="majorHAnsi" w:hAnsiTheme="majorHAnsi"/>
          <w:bCs/>
        </w:rPr>
        <w:t>N</w:t>
      </w:r>
      <w:r w:rsidR="00464275" w:rsidRPr="00CB4B7E">
        <w:rPr>
          <w:rFonts w:asciiTheme="majorHAnsi" w:hAnsiTheme="majorHAnsi"/>
          <w:bCs/>
        </w:rPr>
        <w:t xml:space="preserve">el 2021 </w:t>
      </w:r>
      <w:r>
        <w:rPr>
          <w:rFonts w:asciiTheme="majorHAnsi" w:hAnsiTheme="majorHAnsi"/>
          <w:bCs/>
        </w:rPr>
        <w:t xml:space="preserve">l’intermediato di 24MAX è cresciuto </w:t>
      </w:r>
      <w:r w:rsidR="00306769">
        <w:rPr>
          <w:rFonts w:asciiTheme="majorHAnsi" w:hAnsiTheme="majorHAnsi"/>
          <w:bCs/>
        </w:rPr>
        <w:t>del 6</w:t>
      </w:r>
      <w:r w:rsidR="006F1933">
        <w:rPr>
          <w:rFonts w:asciiTheme="majorHAnsi" w:hAnsiTheme="majorHAnsi"/>
          <w:bCs/>
        </w:rPr>
        <w:t>1,3</w:t>
      </w:r>
      <w:r w:rsidR="00306769">
        <w:rPr>
          <w:rFonts w:asciiTheme="majorHAnsi" w:hAnsiTheme="majorHAnsi"/>
          <w:bCs/>
        </w:rPr>
        <w:t>%</w:t>
      </w:r>
      <w:r w:rsidR="00060E23">
        <w:rPr>
          <w:rFonts w:asciiTheme="majorHAnsi" w:hAnsiTheme="majorHAnsi"/>
          <w:bCs/>
        </w:rPr>
        <w:t>,</w:t>
      </w:r>
      <w:r w:rsidR="00306769">
        <w:rPr>
          <w:rFonts w:asciiTheme="majorHAnsi" w:hAnsiTheme="majorHAnsi"/>
          <w:bCs/>
        </w:rPr>
        <w:t xml:space="preserve"> passando </w:t>
      </w:r>
      <w:r>
        <w:rPr>
          <w:rFonts w:asciiTheme="majorHAnsi" w:hAnsiTheme="majorHAnsi"/>
          <w:bCs/>
        </w:rPr>
        <w:t>dagli</w:t>
      </w:r>
      <w:r w:rsidRPr="00CB4B7E">
        <w:rPr>
          <w:rFonts w:asciiTheme="majorHAnsi" w:hAnsiTheme="majorHAnsi"/>
          <w:bCs/>
        </w:rPr>
        <w:t xml:space="preserve"> 88 milioni </w:t>
      </w:r>
      <w:r w:rsidR="00FA02FB">
        <w:rPr>
          <w:rFonts w:asciiTheme="majorHAnsi" w:hAnsiTheme="majorHAnsi"/>
          <w:bCs/>
        </w:rPr>
        <w:t xml:space="preserve">di euro </w:t>
      </w:r>
      <w:r w:rsidRPr="00CB4B7E">
        <w:rPr>
          <w:rFonts w:asciiTheme="majorHAnsi" w:hAnsiTheme="majorHAnsi"/>
          <w:bCs/>
        </w:rPr>
        <w:t>del 2020 a</w:t>
      </w:r>
      <w:r w:rsidR="00306769">
        <w:rPr>
          <w:rFonts w:asciiTheme="majorHAnsi" w:hAnsiTheme="majorHAnsi"/>
          <w:bCs/>
        </w:rPr>
        <w:t xml:space="preserve"> </w:t>
      </w:r>
      <w:r w:rsidRPr="00CB4B7E">
        <w:rPr>
          <w:rFonts w:asciiTheme="majorHAnsi" w:hAnsiTheme="majorHAnsi"/>
          <w:bCs/>
        </w:rPr>
        <w:t>14</w:t>
      </w:r>
      <w:r w:rsidR="009237DC">
        <w:rPr>
          <w:rFonts w:asciiTheme="majorHAnsi" w:hAnsiTheme="majorHAnsi"/>
          <w:bCs/>
        </w:rPr>
        <w:t>2</w:t>
      </w:r>
      <w:r w:rsidRPr="00CB4B7E">
        <w:rPr>
          <w:rFonts w:asciiTheme="majorHAnsi" w:hAnsiTheme="majorHAnsi"/>
          <w:bCs/>
        </w:rPr>
        <w:t xml:space="preserve"> milioni</w:t>
      </w:r>
      <w:r>
        <w:rPr>
          <w:rFonts w:asciiTheme="majorHAnsi" w:hAnsiTheme="majorHAnsi"/>
          <w:bCs/>
        </w:rPr>
        <w:t xml:space="preserve">; </w:t>
      </w:r>
      <w:r w:rsidR="00306769">
        <w:rPr>
          <w:rFonts w:asciiTheme="majorHAnsi" w:hAnsiTheme="majorHAnsi"/>
          <w:bCs/>
        </w:rPr>
        <w:t xml:space="preserve">parallelamente, </w:t>
      </w:r>
      <w:r w:rsidR="00D332A4">
        <w:rPr>
          <w:rFonts w:asciiTheme="majorHAnsi" w:hAnsiTheme="majorHAnsi"/>
          <w:bCs/>
        </w:rPr>
        <w:t xml:space="preserve">la società ha messo a segno </w:t>
      </w:r>
      <w:r w:rsidR="00306769">
        <w:rPr>
          <w:rFonts w:asciiTheme="majorHAnsi" w:hAnsiTheme="majorHAnsi"/>
          <w:bCs/>
        </w:rPr>
        <w:t xml:space="preserve">un </w:t>
      </w:r>
      <w:r w:rsidR="00D332A4">
        <w:rPr>
          <w:rFonts w:asciiTheme="majorHAnsi" w:hAnsiTheme="majorHAnsi"/>
          <w:bCs/>
        </w:rPr>
        <w:t>sostanzial</w:t>
      </w:r>
      <w:r w:rsidR="00FA02FB">
        <w:rPr>
          <w:rFonts w:asciiTheme="majorHAnsi" w:hAnsiTheme="majorHAnsi"/>
          <w:bCs/>
        </w:rPr>
        <w:t xml:space="preserve">e </w:t>
      </w:r>
      <w:r w:rsidR="00306769">
        <w:rPr>
          <w:rFonts w:asciiTheme="majorHAnsi" w:hAnsiTheme="majorHAnsi"/>
          <w:bCs/>
        </w:rPr>
        <w:t xml:space="preserve">aumento </w:t>
      </w:r>
      <w:r w:rsidR="00FA02FB">
        <w:rPr>
          <w:rFonts w:asciiTheme="majorHAnsi" w:hAnsiTheme="majorHAnsi"/>
          <w:bCs/>
        </w:rPr>
        <w:t>del fatturato</w:t>
      </w:r>
      <w:r w:rsidR="00060E23">
        <w:rPr>
          <w:rFonts w:asciiTheme="majorHAnsi" w:hAnsiTheme="majorHAnsi"/>
          <w:bCs/>
        </w:rPr>
        <w:t>,</w:t>
      </w:r>
      <w:r w:rsidR="00306769">
        <w:rPr>
          <w:rFonts w:asciiTheme="majorHAnsi" w:hAnsiTheme="majorHAnsi"/>
          <w:bCs/>
        </w:rPr>
        <w:t xml:space="preserve"> pari all’82%,</w:t>
      </w:r>
      <w:r w:rsidR="00060E23">
        <w:rPr>
          <w:rFonts w:asciiTheme="majorHAnsi" w:hAnsiTheme="majorHAnsi"/>
          <w:bCs/>
        </w:rPr>
        <w:t xml:space="preserve"> </w:t>
      </w:r>
      <w:r w:rsidR="009237DC">
        <w:rPr>
          <w:rFonts w:asciiTheme="majorHAnsi" w:hAnsiTheme="majorHAnsi"/>
          <w:bCs/>
        </w:rPr>
        <w:t>sfiorando</w:t>
      </w:r>
      <w:r w:rsidR="00060E23">
        <w:rPr>
          <w:rFonts w:asciiTheme="majorHAnsi" w:hAnsiTheme="majorHAnsi"/>
          <w:bCs/>
        </w:rPr>
        <w:t xml:space="preserve"> quota 3,</w:t>
      </w:r>
      <w:r w:rsidR="009237DC">
        <w:rPr>
          <w:rFonts w:asciiTheme="majorHAnsi" w:hAnsiTheme="majorHAnsi"/>
          <w:bCs/>
        </w:rPr>
        <w:t>4</w:t>
      </w:r>
      <w:r w:rsidR="00060E23">
        <w:rPr>
          <w:rFonts w:asciiTheme="majorHAnsi" w:hAnsiTheme="majorHAnsi"/>
          <w:bCs/>
        </w:rPr>
        <w:t xml:space="preserve"> milioni di euro,</w:t>
      </w:r>
      <w:r w:rsidR="00306769">
        <w:rPr>
          <w:rFonts w:asciiTheme="majorHAnsi" w:hAnsiTheme="majorHAnsi"/>
          <w:bCs/>
        </w:rPr>
        <w:t xml:space="preserve"> </w:t>
      </w:r>
      <w:r w:rsidR="00306769" w:rsidRPr="00306769">
        <w:rPr>
          <w:rFonts w:asciiTheme="majorHAnsi" w:hAnsiTheme="majorHAnsi"/>
          <w:bCs/>
        </w:rPr>
        <w:t>con un significativo incremento dell’</w:t>
      </w:r>
      <w:r w:rsidR="009024BB">
        <w:rPr>
          <w:rFonts w:asciiTheme="majorHAnsi" w:hAnsiTheme="majorHAnsi"/>
          <w:bCs/>
        </w:rPr>
        <w:t>E</w:t>
      </w:r>
      <w:r w:rsidR="00306769" w:rsidRPr="00306769">
        <w:rPr>
          <w:rFonts w:asciiTheme="majorHAnsi" w:hAnsiTheme="majorHAnsi"/>
          <w:bCs/>
        </w:rPr>
        <w:t>bitda.</w:t>
      </w:r>
      <w:r w:rsidR="00306769">
        <w:rPr>
          <w:rFonts w:asciiTheme="majorHAnsi" w:hAnsiTheme="majorHAnsi"/>
          <w:bCs/>
        </w:rPr>
        <w:t xml:space="preserve"> </w:t>
      </w:r>
      <w:r w:rsidR="00FA02FB">
        <w:rPr>
          <w:rFonts w:asciiTheme="majorHAnsi" w:hAnsiTheme="majorHAnsi"/>
          <w:bCs/>
        </w:rPr>
        <w:t>Lo scorso anno, c</w:t>
      </w:r>
      <w:r w:rsidR="00306769" w:rsidRPr="00306769">
        <w:rPr>
          <w:rFonts w:asciiTheme="majorHAnsi" w:hAnsiTheme="majorHAnsi"/>
          <w:bCs/>
        </w:rPr>
        <w:t>omplessivamente</w:t>
      </w:r>
      <w:r w:rsidR="00FA02FB">
        <w:rPr>
          <w:rFonts w:asciiTheme="majorHAnsi" w:hAnsiTheme="majorHAnsi"/>
          <w:bCs/>
        </w:rPr>
        <w:t>,</w:t>
      </w:r>
      <w:r w:rsidR="00306769" w:rsidRPr="00306769">
        <w:rPr>
          <w:rFonts w:asciiTheme="majorHAnsi" w:hAnsiTheme="majorHAnsi"/>
          <w:bCs/>
        </w:rPr>
        <w:t xml:space="preserve"> le pratiche accese dai credit specialist di 24MAX</w:t>
      </w:r>
      <w:r w:rsidR="00FA02FB">
        <w:rPr>
          <w:rFonts w:asciiTheme="majorHAnsi" w:hAnsiTheme="majorHAnsi"/>
          <w:bCs/>
        </w:rPr>
        <w:t xml:space="preserve"> </w:t>
      </w:r>
      <w:r w:rsidR="00306769" w:rsidRPr="00306769">
        <w:rPr>
          <w:rFonts w:asciiTheme="majorHAnsi" w:hAnsiTheme="majorHAnsi"/>
          <w:bCs/>
        </w:rPr>
        <w:t>sono</w:t>
      </w:r>
      <w:r w:rsidR="00FA02FB">
        <w:rPr>
          <w:rFonts w:asciiTheme="majorHAnsi" w:hAnsiTheme="majorHAnsi"/>
          <w:bCs/>
        </w:rPr>
        <w:t xml:space="preserve"> state</w:t>
      </w:r>
      <w:r w:rsidR="00306769" w:rsidRPr="00306769">
        <w:rPr>
          <w:rFonts w:asciiTheme="majorHAnsi" w:hAnsiTheme="majorHAnsi"/>
          <w:bCs/>
        </w:rPr>
        <w:t xml:space="preserve"> </w:t>
      </w:r>
      <w:r w:rsidR="006F1933">
        <w:rPr>
          <w:rFonts w:asciiTheme="majorHAnsi" w:hAnsiTheme="majorHAnsi"/>
          <w:bCs/>
        </w:rPr>
        <w:t xml:space="preserve">quasi </w:t>
      </w:r>
      <w:r w:rsidR="009237DC">
        <w:rPr>
          <w:rFonts w:asciiTheme="majorHAnsi" w:hAnsiTheme="majorHAnsi"/>
          <w:bCs/>
        </w:rPr>
        <w:t>3</w:t>
      </w:r>
      <w:r w:rsidR="006F1933">
        <w:rPr>
          <w:rFonts w:asciiTheme="majorHAnsi" w:hAnsiTheme="majorHAnsi"/>
          <w:bCs/>
        </w:rPr>
        <w:t>.000</w:t>
      </w:r>
      <w:r w:rsidR="00306769" w:rsidRPr="00306769">
        <w:rPr>
          <w:rFonts w:asciiTheme="majorHAnsi" w:hAnsiTheme="majorHAnsi"/>
          <w:bCs/>
        </w:rPr>
        <w:t xml:space="preserve">, </w:t>
      </w:r>
      <w:r w:rsidR="001C355C">
        <w:rPr>
          <w:rFonts w:asciiTheme="majorHAnsi" w:hAnsiTheme="majorHAnsi"/>
          <w:bCs/>
        </w:rPr>
        <w:t xml:space="preserve">per un valore di circa 400 milioni di euro, di cui </w:t>
      </w:r>
      <w:r w:rsidR="009237DC">
        <w:rPr>
          <w:rFonts w:asciiTheme="majorHAnsi" w:hAnsiTheme="majorHAnsi"/>
          <w:bCs/>
        </w:rPr>
        <w:t>1.146</w:t>
      </w:r>
      <w:r w:rsidR="00306769" w:rsidRPr="00306769">
        <w:rPr>
          <w:rFonts w:asciiTheme="majorHAnsi" w:hAnsiTheme="majorHAnsi"/>
          <w:bCs/>
        </w:rPr>
        <w:t xml:space="preserve"> </w:t>
      </w:r>
      <w:r w:rsidR="006F1933">
        <w:rPr>
          <w:rFonts w:asciiTheme="majorHAnsi" w:hAnsiTheme="majorHAnsi"/>
          <w:bCs/>
        </w:rPr>
        <w:t xml:space="preserve">già </w:t>
      </w:r>
      <w:r w:rsidR="00306769" w:rsidRPr="00306769">
        <w:rPr>
          <w:rFonts w:asciiTheme="majorHAnsi" w:hAnsiTheme="majorHAnsi"/>
          <w:bCs/>
        </w:rPr>
        <w:t>erogate</w:t>
      </w:r>
      <w:r w:rsidR="001C355C">
        <w:rPr>
          <w:rFonts w:asciiTheme="majorHAnsi" w:hAnsiTheme="majorHAnsi"/>
          <w:bCs/>
        </w:rPr>
        <w:t xml:space="preserve"> per mutui dell’</w:t>
      </w:r>
      <w:r w:rsidR="00306769" w:rsidRPr="00306769">
        <w:rPr>
          <w:rFonts w:asciiTheme="majorHAnsi" w:hAnsiTheme="majorHAnsi"/>
          <w:bCs/>
        </w:rPr>
        <w:t xml:space="preserve">importo medio </w:t>
      </w:r>
      <w:r w:rsidR="001C355C">
        <w:rPr>
          <w:rFonts w:asciiTheme="majorHAnsi" w:hAnsiTheme="majorHAnsi"/>
          <w:bCs/>
        </w:rPr>
        <w:t>di</w:t>
      </w:r>
      <w:r w:rsidR="00306769" w:rsidRPr="00306769">
        <w:rPr>
          <w:rFonts w:asciiTheme="majorHAnsi" w:hAnsiTheme="majorHAnsi"/>
          <w:bCs/>
        </w:rPr>
        <w:t xml:space="preserve"> € 1</w:t>
      </w:r>
      <w:r w:rsidR="009237DC">
        <w:rPr>
          <w:rFonts w:asciiTheme="majorHAnsi" w:hAnsiTheme="majorHAnsi"/>
          <w:bCs/>
        </w:rPr>
        <w:t>24</w:t>
      </w:r>
      <w:r w:rsidR="00306769" w:rsidRPr="00306769">
        <w:rPr>
          <w:rFonts w:asciiTheme="majorHAnsi" w:hAnsiTheme="majorHAnsi"/>
          <w:bCs/>
        </w:rPr>
        <w:t>.</w:t>
      </w:r>
      <w:r w:rsidR="009237DC">
        <w:rPr>
          <w:rFonts w:asciiTheme="majorHAnsi" w:hAnsiTheme="majorHAnsi"/>
          <w:bCs/>
        </w:rPr>
        <w:t>106</w:t>
      </w:r>
      <w:r w:rsidR="00D41AAF">
        <w:rPr>
          <w:rFonts w:asciiTheme="majorHAnsi" w:hAnsiTheme="majorHAnsi"/>
          <w:bCs/>
        </w:rPr>
        <w:t>.</w:t>
      </w:r>
      <w:r w:rsidR="00306769" w:rsidRPr="00306769">
        <w:rPr>
          <w:rFonts w:asciiTheme="majorHAnsi" w:hAnsiTheme="majorHAnsi"/>
          <w:bCs/>
        </w:rPr>
        <w:t xml:space="preserve"> </w:t>
      </w:r>
    </w:p>
    <w:p w14:paraId="4F39F087" w14:textId="32C656FB" w:rsidR="006A05F7" w:rsidRDefault="006A05F7">
      <w:pPr>
        <w:spacing w:line="276" w:lineRule="auto"/>
        <w:jc w:val="both"/>
        <w:rPr>
          <w:rFonts w:asciiTheme="majorHAnsi" w:hAnsiTheme="majorHAnsi"/>
          <w:bCs/>
        </w:rPr>
      </w:pPr>
      <w:r>
        <w:rPr>
          <w:rFonts w:asciiTheme="majorHAnsi" w:hAnsiTheme="majorHAnsi"/>
          <w:bCs/>
        </w:rPr>
        <w:t>Risultati che si fondano sull’</w:t>
      </w:r>
      <w:r w:rsidRPr="006D0F77">
        <w:rPr>
          <w:rFonts w:asciiTheme="majorHAnsi" w:hAnsiTheme="majorHAnsi"/>
          <w:b/>
        </w:rPr>
        <w:t>unicità del modello di business di 24MAX</w:t>
      </w:r>
      <w:r w:rsidR="009024BB">
        <w:rPr>
          <w:rFonts w:asciiTheme="majorHAnsi" w:hAnsiTheme="majorHAnsi"/>
          <w:b/>
        </w:rPr>
        <w:t xml:space="preserve">. </w:t>
      </w:r>
      <w:r w:rsidR="00BE5494" w:rsidRPr="00BE5494">
        <w:rPr>
          <w:rFonts w:asciiTheme="majorHAnsi" w:hAnsiTheme="majorHAnsi"/>
          <w:bCs/>
        </w:rPr>
        <w:t xml:space="preserve">A plus quali </w:t>
      </w:r>
      <w:r w:rsidR="009024BB">
        <w:rPr>
          <w:rFonts w:asciiTheme="majorHAnsi" w:hAnsiTheme="majorHAnsi"/>
          <w:bCs/>
        </w:rPr>
        <w:t>t</w:t>
      </w:r>
      <w:r w:rsidR="00BE5494" w:rsidRPr="00BE5494">
        <w:rPr>
          <w:rFonts w:asciiTheme="majorHAnsi" w:hAnsiTheme="majorHAnsi"/>
          <w:bCs/>
        </w:rPr>
        <w:t xml:space="preserve">empestività e immediatezza del servizio di consulenza, disponibile anche al di fuori dei canonici orari delle filiali bancarie, si aggiunge infatti anche la possibilità di </w:t>
      </w:r>
      <w:r w:rsidR="00BE5494" w:rsidRPr="007E1878">
        <w:rPr>
          <w:rFonts w:asciiTheme="majorHAnsi" w:hAnsiTheme="majorHAnsi"/>
          <w:b/>
        </w:rPr>
        <w:t>svolgere interamente online tutto l’iter della pratica</w:t>
      </w:r>
      <w:r w:rsidR="00BE5494" w:rsidRPr="00BE5494">
        <w:rPr>
          <w:rFonts w:asciiTheme="majorHAnsi" w:hAnsiTheme="majorHAnsi"/>
          <w:bCs/>
        </w:rPr>
        <w:t>, con vantaggi non solo in termini di sicurezza e comodità, ma anche di rapidità nei tempi di risposta.</w:t>
      </w:r>
      <w:r w:rsidR="00BE5494">
        <w:rPr>
          <w:rFonts w:asciiTheme="majorHAnsi" w:hAnsiTheme="majorHAnsi"/>
          <w:bCs/>
        </w:rPr>
        <w:t xml:space="preserve"> </w:t>
      </w:r>
      <w:r w:rsidRPr="00CB4B7E">
        <w:rPr>
          <w:rFonts w:asciiTheme="majorHAnsi" w:hAnsiTheme="majorHAnsi"/>
          <w:bCs/>
        </w:rPr>
        <w:t>I consulenti 24MAX</w:t>
      </w:r>
      <w:r w:rsidR="00F11171">
        <w:rPr>
          <w:rFonts w:asciiTheme="majorHAnsi" w:hAnsiTheme="majorHAnsi"/>
          <w:bCs/>
        </w:rPr>
        <w:t xml:space="preserve"> </w:t>
      </w:r>
      <w:r w:rsidRPr="00CB4B7E">
        <w:rPr>
          <w:rFonts w:asciiTheme="majorHAnsi" w:hAnsiTheme="majorHAnsi"/>
          <w:bCs/>
        </w:rPr>
        <w:t xml:space="preserve">sono sempre a disposizione dei clienti presso i corner dedicati all’interno delle agenzie immobiliari di RE/MAX Italia. Ciò crea </w:t>
      </w:r>
      <w:r w:rsidR="009024BB" w:rsidRPr="009024BB">
        <w:rPr>
          <w:rFonts w:asciiTheme="majorHAnsi" w:hAnsiTheme="majorHAnsi"/>
          <w:b/>
        </w:rPr>
        <w:t xml:space="preserve">virtuose </w:t>
      </w:r>
      <w:r w:rsidRPr="009024BB">
        <w:rPr>
          <w:rFonts w:asciiTheme="majorHAnsi" w:hAnsiTheme="majorHAnsi"/>
          <w:b/>
        </w:rPr>
        <w:t>sinergie</w:t>
      </w:r>
      <w:r w:rsidRPr="00CB4B7E">
        <w:rPr>
          <w:rFonts w:asciiTheme="majorHAnsi" w:hAnsiTheme="majorHAnsi"/>
          <w:bCs/>
        </w:rPr>
        <w:t xml:space="preserve"> tra il mediatore creditizio e l’agente immobiliare, con una focalizzazione sui mutui relativi all’acquisto della casa. </w:t>
      </w:r>
    </w:p>
    <w:p w14:paraId="36D0FE27" w14:textId="52BEBA1D" w:rsidR="00025CF9" w:rsidRPr="00306769" w:rsidRDefault="006A05F7" w:rsidP="00A41305">
      <w:pPr>
        <w:spacing w:line="276" w:lineRule="auto"/>
        <w:jc w:val="both"/>
        <w:rPr>
          <w:rFonts w:asciiTheme="majorHAnsi" w:hAnsiTheme="majorHAnsi"/>
          <w:bCs/>
        </w:rPr>
      </w:pPr>
      <w:r>
        <w:rPr>
          <w:rFonts w:asciiTheme="majorHAnsi" w:hAnsiTheme="majorHAnsi"/>
          <w:bCs/>
        </w:rPr>
        <w:t xml:space="preserve">Contemporaneamente alla crescita della domanda di mutui, è aumentata anche la </w:t>
      </w:r>
      <w:r w:rsidRPr="006D0F77">
        <w:rPr>
          <w:rFonts w:asciiTheme="majorHAnsi" w:hAnsiTheme="majorHAnsi"/>
          <w:b/>
        </w:rPr>
        <w:t>capillarità di 24MAX con l’ingresso di 30 nuovi mediatori che hanno portato il network a quota 102 credit specialist</w:t>
      </w:r>
      <w:r>
        <w:rPr>
          <w:rFonts w:asciiTheme="majorHAnsi" w:hAnsiTheme="majorHAnsi"/>
          <w:bCs/>
        </w:rPr>
        <w:t>. “</w:t>
      </w:r>
      <w:r w:rsidRPr="006A05F7">
        <w:rPr>
          <w:rFonts w:asciiTheme="majorHAnsi" w:hAnsiTheme="majorHAnsi"/>
          <w:bCs/>
          <w:i/>
          <w:iCs/>
        </w:rPr>
        <w:t xml:space="preserve">Il nuovo anno è iniziato per noi all’insegna del </w:t>
      </w:r>
      <w:r w:rsidRPr="009024BB">
        <w:rPr>
          <w:rFonts w:asciiTheme="majorHAnsi" w:hAnsiTheme="majorHAnsi"/>
          <w:b/>
          <w:i/>
          <w:iCs/>
        </w:rPr>
        <w:t xml:space="preserve">recruitment, con l’obiettivo di raggiungere </w:t>
      </w:r>
      <w:r w:rsidR="00060E23" w:rsidRPr="009024BB">
        <w:rPr>
          <w:rFonts w:asciiTheme="majorHAnsi" w:hAnsiTheme="majorHAnsi"/>
          <w:b/>
          <w:i/>
          <w:iCs/>
        </w:rPr>
        <w:t>i</w:t>
      </w:r>
      <w:r w:rsidRPr="009024BB">
        <w:rPr>
          <w:rFonts w:asciiTheme="majorHAnsi" w:hAnsiTheme="majorHAnsi"/>
          <w:b/>
          <w:i/>
          <w:iCs/>
        </w:rPr>
        <w:t xml:space="preserve"> 140 agenti entro la fine del 2022</w:t>
      </w:r>
      <w:r>
        <w:rPr>
          <w:rFonts w:asciiTheme="majorHAnsi" w:hAnsiTheme="majorHAnsi"/>
          <w:bCs/>
        </w:rPr>
        <w:t xml:space="preserve">”, </w:t>
      </w:r>
      <w:r w:rsidR="009024BB">
        <w:rPr>
          <w:rFonts w:asciiTheme="majorHAnsi" w:hAnsiTheme="majorHAnsi"/>
          <w:bCs/>
        </w:rPr>
        <w:t>aggiunge</w:t>
      </w:r>
      <w:r>
        <w:rPr>
          <w:rFonts w:asciiTheme="majorHAnsi" w:hAnsiTheme="majorHAnsi"/>
          <w:bCs/>
        </w:rPr>
        <w:t xml:space="preserve"> </w:t>
      </w:r>
      <w:r w:rsidR="00060E23">
        <w:rPr>
          <w:rFonts w:asciiTheme="majorHAnsi" w:hAnsiTheme="majorHAnsi"/>
          <w:bCs/>
        </w:rPr>
        <w:t>Bernardi</w:t>
      </w:r>
      <w:r>
        <w:rPr>
          <w:rFonts w:asciiTheme="majorHAnsi" w:hAnsiTheme="majorHAnsi"/>
          <w:bCs/>
        </w:rPr>
        <w:t>. “</w:t>
      </w:r>
      <w:r w:rsidRPr="006A05F7">
        <w:rPr>
          <w:rFonts w:asciiTheme="majorHAnsi" w:hAnsiTheme="majorHAnsi"/>
          <w:bCs/>
          <w:i/>
          <w:iCs/>
        </w:rPr>
        <w:t xml:space="preserve">Puntando sulla collaborazione sinergica con gli agenti immobiliari RE/MAX, </w:t>
      </w:r>
      <w:r w:rsidR="00060E23">
        <w:rPr>
          <w:rFonts w:asciiTheme="majorHAnsi" w:hAnsiTheme="majorHAnsi"/>
          <w:bCs/>
          <w:i/>
          <w:iCs/>
        </w:rPr>
        <w:t>i</w:t>
      </w:r>
      <w:r w:rsidRPr="006A05F7">
        <w:rPr>
          <w:rFonts w:asciiTheme="majorHAnsi" w:hAnsiTheme="majorHAnsi"/>
          <w:bCs/>
          <w:i/>
          <w:iCs/>
        </w:rPr>
        <w:t>ntendiamo consolidare la nostra crescita, superando nell’anno in corso i 200 milioni di</w:t>
      </w:r>
      <w:r w:rsidR="00025CF9">
        <w:rPr>
          <w:rFonts w:asciiTheme="majorHAnsi" w:hAnsiTheme="majorHAnsi"/>
          <w:bCs/>
          <w:i/>
          <w:iCs/>
        </w:rPr>
        <w:t xml:space="preserve"> euro di</w:t>
      </w:r>
      <w:r w:rsidRPr="006A05F7">
        <w:rPr>
          <w:rFonts w:asciiTheme="majorHAnsi" w:hAnsiTheme="majorHAnsi"/>
          <w:bCs/>
          <w:i/>
          <w:iCs/>
        </w:rPr>
        <w:t xml:space="preserve"> erogazioni e i 5 milioni di fatturato</w:t>
      </w:r>
      <w:r>
        <w:rPr>
          <w:rFonts w:asciiTheme="majorHAnsi" w:hAnsiTheme="majorHAnsi"/>
          <w:bCs/>
        </w:rPr>
        <w:t>”.</w:t>
      </w:r>
      <w:r w:rsidR="00025CF9" w:rsidRPr="00025CF9">
        <w:rPr>
          <w:rFonts w:asciiTheme="majorHAnsi" w:hAnsiTheme="majorHAnsi"/>
          <w:bCs/>
        </w:rPr>
        <w:t xml:space="preserve"> </w:t>
      </w:r>
    </w:p>
    <w:p w14:paraId="22C9910A" w14:textId="77777777" w:rsidR="006D0F77" w:rsidRDefault="00100029" w:rsidP="00F339EB">
      <w:pPr>
        <w:spacing w:line="276" w:lineRule="auto"/>
        <w:jc w:val="both"/>
        <w:rPr>
          <w:rFonts w:asciiTheme="majorHAnsi" w:hAnsiTheme="majorHAnsi"/>
          <w:bCs/>
        </w:rPr>
      </w:pPr>
      <w:r>
        <w:rPr>
          <w:rFonts w:asciiTheme="majorHAnsi" w:hAnsiTheme="majorHAnsi"/>
          <w:bCs/>
        </w:rPr>
        <w:t xml:space="preserve">Previsioni che tengono comunque conto della singolarità dell’attuale momento storico, in cui la crisi sanitaria ha ricadute su tutti i comparti economici, dalla macroeconomia all’economia reale delle singole famiglie. </w:t>
      </w:r>
      <w:r w:rsidRPr="00100029">
        <w:rPr>
          <w:rFonts w:asciiTheme="majorHAnsi" w:hAnsiTheme="majorHAnsi"/>
          <w:bCs/>
        </w:rPr>
        <w:t>“</w:t>
      </w:r>
      <w:r w:rsidRPr="00100029">
        <w:rPr>
          <w:rFonts w:asciiTheme="majorHAnsi" w:hAnsiTheme="majorHAnsi"/>
          <w:bCs/>
          <w:i/>
          <w:iCs/>
        </w:rPr>
        <w:t xml:space="preserve">Senza sbilanciarci eccessivamente, possiamo </w:t>
      </w:r>
      <w:r w:rsidR="00060E23">
        <w:rPr>
          <w:rFonts w:asciiTheme="majorHAnsi" w:hAnsiTheme="majorHAnsi"/>
          <w:bCs/>
          <w:i/>
          <w:iCs/>
        </w:rPr>
        <w:t>aspettarci</w:t>
      </w:r>
      <w:r w:rsidRPr="00100029">
        <w:rPr>
          <w:rFonts w:asciiTheme="majorHAnsi" w:hAnsiTheme="majorHAnsi"/>
          <w:bCs/>
          <w:i/>
          <w:iCs/>
        </w:rPr>
        <w:t xml:space="preserve"> un ulteriore anno di stabilità</w:t>
      </w:r>
      <w:r w:rsidR="00025CF9">
        <w:rPr>
          <w:rFonts w:asciiTheme="majorHAnsi" w:hAnsiTheme="majorHAnsi"/>
          <w:bCs/>
          <w:i/>
          <w:iCs/>
        </w:rPr>
        <w:t xml:space="preserve"> con condizioni di finanziamento favorevoli, </w:t>
      </w:r>
      <w:r w:rsidRPr="00100029">
        <w:rPr>
          <w:rFonts w:asciiTheme="majorHAnsi" w:hAnsiTheme="majorHAnsi"/>
          <w:bCs/>
          <w:i/>
          <w:iCs/>
        </w:rPr>
        <w:t>anche se non è escluso un leggero incremento dei tassi, più probabile nella seconda metà dell’anno, che comunque rimarrebbero a livelli decisamente convenienti</w:t>
      </w:r>
      <w:r w:rsidRPr="00100029">
        <w:rPr>
          <w:rFonts w:asciiTheme="majorHAnsi" w:hAnsiTheme="majorHAnsi"/>
          <w:bCs/>
        </w:rPr>
        <w:t xml:space="preserve">”, commenta </w:t>
      </w:r>
      <w:r w:rsidRPr="0090398B">
        <w:rPr>
          <w:rFonts w:asciiTheme="majorHAnsi" w:hAnsiTheme="majorHAnsi"/>
          <w:b/>
        </w:rPr>
        <w:t xml:space="preserve">Marco Boidi, </w:t>
      </w:r>
      <w:r w:rsidR="0090398B" w:rsidRPr="0090398B">
        <w:rPr>
          <w:rFonts w:asciiTheme="majorHAnsi" w:hAnsiTheme="majorHAnsi"/>
          <w:b/>
        </w:rPr>
        <w:t>Head of Sales Network di 24MAX</w:t>
      </w:r>
      <w:r w:rsidRPr="0090398B">
        <w:rPr>
          <w:rFonts w:asciiTheme="majorHAnsi" w:hAnsiTheme="majorHAnsi"/>
          <w:b/>
        </w:rPr>
        <w:t>.</w:t>
      </w:r>
      <w:r>
        <w:rPr>
          <w:rFonts w:asciiTheme="majorHAnsi" w:hAnsiTheme="majorHAnsi"/>
          <w:bCs/>
        </w:rPr>
        <w:t xml:space="preserve"> “</w:t>
      </w:r>
      <w:r w:rsidRPr="00100029">
        <w:rPr>
          <w:rFonts w:asciiTheme="majorHAnsi" w:hAnsiTheme="majorHAnsi"/>
          <w:bCs/>
          <w:i/>
          <w:iCs/>
        </w:rPr>
        <w:t xml:space="preserve">Siamo fiduciosi in quanto </w:t>
      </w:r>
      <w:r w:rsidR="00434D8D">
        <w:rPr>
          <w:rFonts w:asciiTheme="majorHAnsi" w:hAnsiTheme="majorHAnsi"/>
          <w:bCs/>
          <w:i/>
          <w:iCs/>
        </w:rPr>
        <w:t>tutte le</w:t>
      </w:r>
      <w:r w:rsidRPr="00100029">
        <w:rPr>
          <w:rFonts w:asciiTheme="majorHAnsi" w:hAnsiTheme="majorHAnsi"/>
          <w:bCs/>
          <w:i/>
          <w:iCs/>
        </w:rPr>
        <w:t xml:space="preserve"> banche convenzionate con 24MAX</w:t>
      </w:r>
      <w:r w:rsidR="00434D8D">
        <w:rPr>
          <w:rFonts w:asciiTheme="majorHAnsi" w:hAnsiTheme="majorHAnsi"/>
          <w:bCs/>
          <w:i/>
          <w:iCs/>
        </w:rPr>
        <w:t xml:space="preserve"> </w:t>
      </w:r>
      <w:r w:rsidRPr="00100029">
        <w:rPr>
          <w:rFonts w:asciiTheme="majorHAnsi" w:hAnsiTheme="majorHAnsi"/>
          <w:bCs/>
          <w:i/>
          <w:iCs/>
        </w:rPr>
        <w:t>hanno confermat</w:t>
      </w:r>
      <w:r w:rsidR="00434D8D">
        <w:rPr>
          <w:rFonts w:asciiTheme="majorHAnsi" w:hAnsiTheme="majorHAnsi"/>
          <w:bCs/>
          <w:i/>
          <w:iCs/>
        </w:rPr>
        <w:t xml:space="preserve">o </w:t>
      </w:r>
      <w:r w:rsidRPr="00100029">
        <w:rPr>
          <w:rFonts w:asciiTheme="majorHAnsi" w:hAnsiTheme="majorHAnsi"/>
          <w:bCs/>
          <w:i/>
          <w:iCs/>
        </w:rPr>
        <w:t>i budget per il 2022</w:t>
      </w:r>
      <w:r w:rsidR="00434D8D">
        <w:rPr>
          <w:rFonts w:asciiTheme="majorHAnsi" w:hAnsiTheme="majorHAnsi"/>
          <w:bCs/>
          <w:i/>
          <w:iCs/>
        </w:rPr>
        <w:t>,</w:t>
      </w:r>
      <w:r w:rsidRPr="00100029">
        <w:rPr>
          <w:rFonts w:asciiTheme="majorHAnsi" w:hAnsiTheme="majorHAnsi"/>
          <w:bCs/>
          <w:i/>
          <w:iCs/>
        </w:rPr>
        <w:t xml:space="preserve"> con volumi di erogazione simili al 2021</w:t>
      </w:r>
      <w:r w:rsidR="00D96E6D">
        <w:rPr>
          <w:rFonts w:asciiTheme="majorHAnsi" w:hAnsiTheme="majorHAnsi"/>
          <w:bCs/>
        </w:rPr>
        <w:t xml:space="preserve">”. </w:t>
      </w:r>
    </w:p>
    <w:p w14:paraId="3C1D2C45" w14:textId="79C52BA4" w:rsidR="00434D8D" w:rsidRPr="00434D8D" w:rsidRDefault="00434D8D">
      <w:pPr>
        <w:spacing w:line="276" w:lineRule="auto"/>
        <w:jc w:val="both"/>
        <w:rPr>
          <w:rFonts w:asciiTheme="majorHAnsi" w:hAnsiTheme="majorHAnsi"/>
          <w:bCs/>
        </w:rPr>
      </w:pPr>
      <w:r>
        <w:rPr>
          <w:rFonts w:asciiTheme="majorHAnsi" w:hAnsiTheme="majorHAnsi"/>
          <w:bCs/>
        </w:rPr>
        <w:t xml:space="preserve">Oltre al recruitment, </w:t>
      </w:r>
      <w:r w:rsidRPr="006D0F77">
        <w:rPr>
          <w:rFonts w:asciiTheme="majorHAnsi" w:hAnsiTheme="majorHAnsi"/>
          <w:b/>
        </w:rPr>
        <w:t xml:space="preserve">24MAX sta investendo anche </w:t>
      </w:r>
      <w:r w:rsidR="006C00B1">
        <w:rPr>
          <w:rFonts w:asciiTheme="majorHAnsi" w:hAnsiTheme="majorHAnsi"/>
          <w:b/>
        </w:rPr>
        <w:t>su</w:t>
      </w:r>
      <w:r w:rsidRPr="006D0F77">
        <w:rPr>
          <w:rFonts w:asciiTheme="majorHAnsi" w:hAnsiTheme="majorHAnsi"/>
          <w:b/>
        </w:rPr>
        <w:t>l consolidamento dei rapporti con il mondo bancario</w:t>
      </w:r>
      <w:r>
        <w:rPr>
          <w:rFonts w:asciiTheme="majorHAnsi" w:hAnsiTheme="majorHAnsi"/>
          <w:bCs/>
        </w:rPr>
        <w:t xml:space="preserve">. Ad oggi il network delle banche convenzionate annovera </w:t>
      </w:r>
      <w:r w:rsidR="00060E23">
        <w:rPr>
          <w:rFonts w:asciiTheme="majorHAnsi" w:hAnsiTheme="majorHAnsi"/>
          <w:bCs/>
        </w:rPr>
        <w:t xml:space="preserve">già </w:t>
      </w:r>
      <w:r w:rsidR="006F1933">
        <w:rPr>
          <w:rFonts w:asciiTheme="majorHAnsi" w:hAnsiTheme="majorHAnsi"/>
          <w:bCs/>
        </w:rPr>
        <w:t>19</w:t>
      </w:r>
      <w:r>
        <w:rPr>
          <w:rFonts w:asciiTheme="majorHAnsi" w:hAnsiTheme="majorHAnsi"/>
          <w:bCs/>
        </w:rPr>
        <w:t xml:space="preserve"> istituti</w:t>
      </w:r>
      <w:r w:rsidR="00060E23">
        <w:rPr>
          <w:rFonts w:asciiTheme="majorHAnsi" w:hAnsiTheme="majorHAnsi"/>
          <w:bCs/>
        </w:rPr>
        <w:t>, u</w:t>
      </w:r>
      <w:r>
        <w:rPr>
          <w:rFonts w:asciiTheme="majorHAnsi" w:hAnsiTheme="majorHAnsi"/>
          <w:bCs/>
        </w:rPr>
        <w:t>n numero in costante aumento. “</w:t>
      </w:r>
      <w:r w:rsidRPr="00434D8D">
        <w:rPr>
          <w:rFonts w:asciiTheme="majorHAnsi" w:hAnsiTheme="majorHAnsi"/>
          <w:bCs/>
          <w:i/>
          <w:iCs/>
        </w:rPr>
        <w:t>Vi è grande interesse e soddisfazione del mondo bancario in quanto la qualità del credito è dimostrata sui nostri credit report dal fatto che l’84% delle pratiche erogate da 24MAX ha una ltv sotto 80%</w:t>
      </w:r>
      <w:r>
        <w:rPr>
          <w:rFonts w:asciiTheme="majorHAnsi" w:hAnsiTheme="majorHAnsi"/>
          <w:bCs/>
          <w:i/>
          <w:iCs/>
        </w:rPr>
        <w:t xml:space="preserve">”, </w:t>
      </w:r>
      <w:r w:rsidRPr="00434D8D">
        <w:rPr>
          <w:rFonts w:asciiTheme="majorHAnsi" w:hAnsiTheme="majorHAnsi"/>
          <w:bCs/>
        </w:rPr>
        <w:t xml:space="preserve">aggiunge Boidi. </w:t>
      </w:r>
    </w:p>
    <w:p w14:paraId="4B56E874" w14:textId="096BF451" w:rsidR="00100029" w:rsidRDefault="00100029">
      <w:pPr>
        <w:spacing w:line="276" w:lineRule="auto"/>
        <w:jc w:val="both"/>
        <w:rPr>
          <w:rFonts w:asciiTheme="majorHAnsi" w:hAnsiTheme="majorHAnsi"/>
          <w:bCs/>
          <w:i/>
          <w:iCs/>
        </w:rPr>
      </w:pPr>
      <w:r w:rsidRPr="00D96E6D">
        <w:rPr>
          <w:rFonts w:asciiTheme="majorHAnsi" w:hAnsiTheme="majorHAnsi"/>
          <w:bCs/>
        </w:rPr>
        <w:lastRenderedPageBreak/>
        <w:t>In generale, sulla base delle analisi effettuate dall’</w:t>
      </w:r>
      <w:r w:rsidRPr="006D0F77">
        <w:rPr>
          <w:rFonts w:asciiTheme="majorHAnsi" w:hAnsiTheme="majorHAnsi"/>
          <w:b/>
        </w:rPr>
        <w:t>Ufficio Studi di 24MAX</w:t>
      </w:r>
      <w:r w:rsidR="00D96E6D">
        <w:rPr>
          <w:rFonts w:asciiTheme="majorHAnsi" w:hAnsiTheme="majorHAnsi"/>
          <w:bCs/>
        </w:rPr>
        <w:t xml:space="preserve">, si prevede </w:t>
      </w:r>
      <w:r w:rsidRPr="00D96E6D">
        <w:rPr>
          <w:rFonts w:asciiTheme="majorHAnsi" w:hAnsiTheme="majorHAnsi"/>
          <w:bCs/>
        </w:rPr>
        <w:t xml:space="preserve">una </w:t>
      </w:r>
      <w:r w:rsidRPr="007E1878">
        <w:rPr>
          <w:rFonts w:asciiTheme="majorHAnsi" w:hAnsiTheme="majorHAnsi"/>
          <w:b/>
        </w:rPr>
        <w:t>preferenza per il tasso fisso</w:t>
      </w:r>
      <w:r w:rsidRPr="00D96E6D">
        <w:rPr>
          <w:rFonts w:asciiTheme="majorHAnsi" w:hAnsiTheme="majorHAnsi"/>
          <w:bCs/>
        </w:rPr>
        <w:t>, scelta che riflette il clima di fiducia ancora prudenziale che caratterizza lo scenario economico italiano.</w:t>
      </w:r>
      <w:r w:rsidR="00D96E6D">
        <w:rPr>
          <w:rFonts w:asciiTheme="majorHAnsi" w:hAnsiTheme="majorHAnsi"/>
          <w:bCs/>
        </w:rPr>
        <w:t xml:space="preserve"> </w:t>
      </w:r>
      <w:r w:rsidRPr="00434D8D">
        <w:rPr>
          <w:rFonts w:asciiTheme="majorHAnsi" w:hAnsiTheme="majorHAnsi"/>
          <w:bCs/>
        </w:rPr>
        <w:t>Per chi si trova di fronte all’accensione di un mutuo della durata media di 20-25 anni, la scelta del fisso assicura un tasso estremamente conveniente per tutta la durata del finanziamento. Il possibile risparmio sul lungo periodo dato dalla scelta del variabile non vale dunque per molti il rischio legato a un possibile futuro innalzamento dei tassi.</w:t>
      </w:r>
      <w:r w:rsidRPr="00100029">
        <w:rPr>
          <w:rFonts w:asciiTheme="majorHAnsi" w:hAnsiTheme="majorHAnsi"/>
          <w:bCs/>
          <w:i/>
          <w:iCs/>
        </w:rPr>
        <w:t xml:space="preserve"> </w:t>
      </w:r>
    </w:p>
    <w:p w14:paraId="4880BA59" w14:textId="7EDB1289" w:rsidR="00060E23" w:rsidRPr="007E1878" w:rsidRDefault="00060E23" w:rsidP="00A41305">
      <w:pPr>
        <w:spacing w:line="276" w:lineRule="auto"/>
        <w:jc w:val="both"/>
        <w:rPr>
          <w:rFonts w:asciiTheme="majorHAnsi" w:hAnsiTheme="majorHAnsi"/>
          <w:b/>
        </w:rPr>
      </w:pPr>
      <w:r w:rsidRPr="007E1878">
        <w:rPr>
          <w:rFonts w:asciiTheme="majorHAnsi" w:hAnsiTheme="majorHAnsi"/>
          <w:b/>
        </w:rPr>
        <w:t>Per il biennio 2023-24 il piano industriale di 24MAX prevede</w:t>
      </w:r>
      <w:r w:rsidR="006C00B1" w:rsidRPr="007E1878">
        <w:rPr>
          <w:rFonts w:asciiTheme="majorHAnsi" w:hAnsiTheme="majorHAnsi"/>
          <w:b/>
        </w:rPr>
        <w:t xml:space="preserve"> </w:t>
      </w:r>
      <w:r w:rsidRPr="007E1878">
        <w:rPr>
          <w:rFonts w:asciiTheme="majorHAnsi" w:hAnsiTheme="majorHAnsi"/>
          <w:b/>
        </w:rPr>
        <w:t>l’ampliamento del business nei comparti dei prestiti e delle cessioni del quinto, con un occhio attento al mercato online</w:t>
      </w:r>
      <w:r w:rsidR="002A24CD">
        <w:rPr>
          <w:rFonts w:asciiTheme="majorHAnsi" w:hAnsiTheme="majorHAnsi"/>
          <w:b/>
        </w:rPr>
        <w:t>.</w:t>
      </w:r>
      <w:bookmarkStart w:id="0" w:name="_GoBack"/>
      <w:bookmarkEnd w:id="0"/>
    </w:p>
    <w:p w14:paraId="72A490A2" w14:textId="77777777" w:rsidR="00D93F78" w:rsidRDefault="00D93F78" w:rsidP="009B6188">
      <w:pPr>
        <w:spacing w:line="276" w:lineRule="auto"/>
        <w:jc w:val="both"/>
        <w:rPr>
          <w:rFonts w:asciiTheme="majorHAnsi" w:hAnsiTheme="majorHAnsi"/>
          <w:b/>
        </w:rPr>
      </w:pPr>
    </w:p>
    <w:p w14:paraId="209440E1" w14:textId="77777777" w:rsidR="009B6188" w:rsidRPr="00333D5E" w:rsidRDefault="009B6188" w:rsidP="009B6188">
      <w:pPr>
        <w:spacing w:after="0" w:line="240" w:lineRule="auto"/>
        <w:jc w:val="both"/>
        <w:rPr>
          <w:rFonts w:asciiTheme="majorHAnsi" w:hAnsiTheme="majorHAnsi"/>
          <w:b/>
          <w:i/>
          <w:iCs/>
          <w:sz w:val="24"/>
        </w:rPr>
      </w:pPr>
      <w:r>
        <w:rPr>
          <w:rFonts w:asciiTheme="majorHAnsi" w:hAnsiTheme="majorHAnsi"/>
          <w:b/>
          <w:i/>
          <w:iCs/>
          <w:sz w:val="24"/>
        </w:rPr>
        <w:t xml:space="preserve">24MAX </w:t>
      </w:r>
      <w:r w:rsidRPr="00333D5E">
        <w:rPr>
          <w:rFonts w:asciiTheme="majorHAnsi" w:hAnsiTheme="majorHAnsi"/>
          <w:b/>
          <w:i/>
          <w:iCs/>
          <w:sz w:val="24"/>
        </w:rPr>
        <w:t>PROFILO AZIENDALE</w:t>
      </w:r>
    </w:p>
    <w:p w14:paraId="22E66667" w14:textId="4D16A5A9" w:rsidR="0090398B" w:rsidRDefault="0090398B" w:rsidP="0090398B">
      <w:pPr>
        <w:pStyle w:val="NormaleWeb"/>
        <w:shd w:val="clear" w:color="auto" w:fill="FFFFFF"/>
        <w:spacing w:before="0" w:beforeAutospacing="0" w:after="0" w:afterAutospacing="0"/>
        <w:jc w:val="both"/>
        <w:rPr>
          <w:rFonts w:asciiTheme="majorHAnsi" w:eastAsiaTheme="minorHAnsi" w:hAnsiTheme="majorHAnsi" w:cstheme="minorBidi"/>
          <w:bCs/>
          <w:i/>
          <w:iCs/>
          <w:sz w:val="22"/>
          <w:szCs w:val="22"/>
          <w:lang w:eastAsia="en-US"/>
        </w:rPr>
      </w:pPr>
      <w:r w:rsidRPr="00333D5E">
        <w:rPr>
          <w:rFonts w:asciiTheme="majorHAnsi" w:eastAsiaTheme="minorHAnsi" w:hAnsiTheme="majorHAnsi" w:cstheme="minorBidi"/>
          <w:bCs/>
          <w:i/>
          <w:iCs/>
          <w:sz w:val="22"/>
          <w:szCs w:val="22"/>
          <w:lang w:eastAsia="en-US"/>
        </w:rPr>
        <w:t>24MAX Spa è la Società di Mediazione Creditizia ideata e realizzata per dare una risposta concreta all’esigenza di consulenza finanziaria della clientela che compra casa affidandosi ad una Agenzia Immobiliare RE/MAX, in tempo reale. 24</w:t>
      </w:r>
      <w:r>
        <w:rPr>
          <w:rFonts w:asciiTheme="majorHAnsi" w:eastAsiaTheme="minorHAnsi" w:hAnsiTheme="majorHAnsi" w:cstheme="minorBidi"/>
          <w:bCs/>
          <w:i/>
          <w:iCs/>
          <w:sz w:val="22"/>
          <w:szCs w:val="22"/>
          <w:lang w:eastAsia="en-US"/>
        </w:rPr>
        <w:t>MAX</w:t>
      </w:r>
      <w:r w:rsidRPr="00333D5E">
        <w:rPr>
          <w:rFonts w:asciiTheme="majorHAnsi" w:eastAsiaTheme="minorHAnsi" w:hAnsiTheme="majorHAnsi" w:cstheme="minorBidi"/>
          <w:bCs/>
          <w:i/>
          <w:iCs/>
          <w:sz w:val="22"/>
          <w:szCs w:val="22"/>
          <w:lang w:eastAsia="en-US"/>
        </w:rPr>
        <w:t xml:space="preserve"> è partecipata da RE/MAX Italia e 24Finance Spa. La mission è completare la Customer Experience della clientela, dalla scelta dell’abitazione all’ottenimento delle risorse finanziarie necessarie per l’acquisto. Nelle </w:t>
      </w:r>
      <w:r>
        <w:rPr>
          <w:rFonts w:asciiTheme="majorHAnsi" w:eastAsiaTheme="minorHAnsi" w:hAnsiTheme="majorHAnsi" w:cstheme="minorBidi"/>
          <w:bCs/>
          <w:i/>
          <w:iCs/>
          <w:sz w:val="22"/>
          <w:szCs w:val="22"/>
          <w:lang w:eastAsia="en-US"/>
        </w:rPr>
        <w:t>oltre 450</w:t>
      </w:r>
      <w:r w:rsidRPr="00D561B6">
        <w:rPr>
          <w:rFonts w:asciiTheme="majorHAnsi" w:eastAsiaTheme="minorHAnsi" w:hAnsiTheme="majorHAnsi" w:cstheme="minorBidi"/>
          <w:bCs/>
          <w:i/>
          <w:iCs/>
          <w:sz w:val="22"/>
          <w:szCs w:val="22"/>
          <w:lang w:eastAsia="en-US"/>
        </w:rPr>
        <w:t xml:space="preserve"> agenzie RE/MAX in Italia, in cui operano </w:t>
      </w:r>
      <w:r>
        <w:rPr>
          <w:rFonts w:asciiTheme="majorHAnsi" w:eastAsiaTheme="minorHAnsi" w:hAnsiTheme="majorHAnsi" w:cstheme="minorBidi"/>
          <w:bCs/>
          <w:i/>
          <w:iCs/>
          <w:sz w:val="22"/>
          <w:szCs w:val="22"/>
          <w:lang w:eastAsia="en-US"/>
        </w:rPr>
        <w:t>più di 4.600</w:t>
      </w:r>
      <w:r w:rsidRPr="00D561B6">
        <w:rPr>
          <w:rFonts w:asciiTheme="majorHAnsi" w:eastAsiaTheme="minorHAnsi" w:hAnsiTheme="majorHAnsi" w:cstheme="minorBidi"/>
          <w:bCs/>
          <w:i/>
          <w:iCs/>
          <w:sz w:val="22"/>
          <w:szCs w:val="22"/>
          <w:lang w:eastAsia="en-US"/>
        </w:rPr>
        <w:t xml:space="preserve"> consulenti</w:t>
      </w:r>
      <w:r w:rsidRPr="00333D5E">
        <w:rPr>
          <w:rFonts w:asciiTheme="majorHAnsi" w:eastAsiaTheme="minorHAnsi" w:hAnsiTheme="majorHAnsi" w:cstheme="minorBidi"/>
          <w:bCs/>
          <w:i/>
          <w:iCs/>
          <w:sz w:val="22"/>
          <w:szCs w:val="22"/>
          <w:lang w:eastAsia="en-US"/>
        </w:rPr>
        <w:t xml:space="preserve"> immobiliari affiliati, sono stati allestiti corner finanziari in cui operano i Credit Specialist di 24MAX, professionisti selezionati tra i migliori presenti sul mercato del credito per la loro competenza ed esperienza.</w:t>
      </w:r>
    </w:p>
    <w:p w14:paraId="7BF343FF" w14:textId="77777777" w:rsidR="0090398B" w:rsidRPr="00206087" w:rsidRDefault="0090398B" w:rsidP="0090398B">
      <w:pPr>
        <w:pStyle w:val="NormaleWeb"/>
        <w:shd w:val="clear" w:color="auto" w:fill="FFFFFF"/>
        <w:spacing w:before="0" w:beforeAutospacing="0" w:after="0" w:afterAutospacing="0"/>
        <w:jc w:val="both"/>
        <w:rPr>
          <w:rFonts w:asciiTheme="majorHAnsi" w:eastAsiaTheme="minorHAnsi" w:hAnsiTheme="majorHAnsi" w:cstheme="minorBidi"/>
          <w:bCs/>
          <w:i/>
          <w:iCs/>
          <w:sz w:val="22"/>
          <w:szCs w:val="22"/>
          <w:lang w:eastAsia="en-US"/>
        </w:rPr>
      </w:pPr>
      <w:r w:rsidRPr="00FE18C4">
        <w:rPr>
          <w:rFonts w:asciiTheme="majorHAnsi" w:eastAsiaTheme="minorHAnsi" w:hAnsiTheme="majorHAnsi" w:cstheme="minorBidi"/>
          <w:bCs/>
          <w:i/>
          <w:iCs/>
          <w:sz w:val="22"/>
          <w:szCs w:val="22"/>
          <w:lang w:eastAsia="en-US"/>
        </w:rPr>
        <w:t>Ad oggi 24MAX ha attivato convenzioni con primari istituti di credito nazionali e territoriali, quali: Agos, Banca Centro Lazio, Banca Progetto, BCC di Roma, BNL, Cassa di Risparmio di Asti, Centro Veneto Bassano Banca, CheBanca!, Compass, Credit Agricole, Extra Banca, Fincontinuo, Gruppo Creval, IBL Banca, ING Bank</w:t>
      </w:r>
      <w:r>
        <w:rPr>
          <w:rFonts w:asciiTheme="majorHAnsi" w:eastAsiaTheme="minorHAnsi" w:hAnsiTheme="majorHAnsi" w:cstheme="minorBidi"/>
          <w:bCs/>
          <w:i/>
          <w:iCs/>
          <w:sz w:val="22"/>
          <w:szCs w:val="22"/>
          <w:lang w:eastAsia="en-US"/>
        </w:rPr>
        <w:t>,</w:t>
      </w:r>
      <w:r w:rsidRPr="00B56CA8">
        <w:t xml:space="preserve"> </w:t>
      </w:r>
      <w:r w:rsidRPr="00FB7617">
        <w:rPr>
          <w:rFonts w:asciiTheme="majorHAnsi" w:eastAsiaTheme="minorHAnsi" w:hAnsiTheme="majorHAnsi" w:cstheme="minorBidi"/>
          <w:bCs/>
          <w:i/>
          <w:iCs/>
          <w:sz w:val="22"/>
          <w:szCs w:val="22"/>
          <w:lang w:eastAsia="en-US"/>
        </w:rPr>
        <w:t>Banca Sant’Angelo</w:t>
      </w:r>
      <w:r>
        <w:rPr>
          <w:rFonts w:asciiTheme="majorHAnsi" w:eastAsiaTheme="minorHAnsi" w:hAnsiTheme="majorHAnsi" w:cstheme="minorBidi"/>
          <w:bCs/>
          <w:i/>
          <w:iCs/>
          <w:sz w:val="22"/>
          <w:szCs w:val="22"/>
          <w:lang w:eastAsia="en-US"/>
        </w:rPr>
        <w:t>,</w:t>
      </w:r>
      <w:r w:rsidRPr="00FB7617">
        <w:rPr>
          <w:rFonts w:asciiTheme="majorHAnsi" w:eastAsiaTheme="minorHAnsi" w:hAnsiTheme="majorHAnsi" w:cstheme="minorBidi"/>
          <w:bCs/>
          <w:i/>
          <w:iCs/>
          <w:sz w:val="22"/>
          <w:szCs w:val="22"/>
          <w:lang w:eastAsia="en-US"/>
        </w:rPr>
        <w:t xml:space="preserve"> Prestiamoci</w:t>
      </w:r>
      <w:r>
        <w:rPr>
          <w:rFonts w:asciiTheme="majorHAnsi" w:eastAsiaTheme="minorHAnsi" w:hAnsiTheme="majorHAnsi" w:cstheme="minorBidi"/>
          <w:bCs/>
          <w:i/>
          <w:iCs/>
          <w:sz w:val="22"/>
          <w:szCs w:val="22"/>
          <w:lang w:eastAsia="en-US"/>
        </w:rPr>
        <w:t>, Banca Centro Lazio e Younited</w:t>
      </w:r>
      <w:r w:rsidRPr="00FE18C4">
        <w:rPr>
          <w:rFonts w:asciiTheme="majorHAnsi" w:eastAsiaTheme="minorHAnsi" w:hAnsiTheme="majorHAnsi" w:cstheme="minorBidi"/>
          <w:bCs/>
          <w:i/>
          <w:iCs/>
          <w:sz w:val="22"/>
          <w:szCs w:val="22"/>
          <w:lang w:eastAsia="en-US"/>
        </w:rPr>
        <w:t>.</w:t>
      </w:r>
    </w:p>
    <w:p w14:paraId="3A284DA4" w14:textId="77777777" w:rsidR="0090398B" w:rsidRDefault="0090398B" w:rsidP="009B6188">
      <w:pPr>
        <w:spacing w:after="0"/>
        <w:rPr>
          <w:rFonts w:ascii="Calibri Light" w:hAnsi="Calibri Light" w:cs="Calibri Light"/>
          <w:b/>
          <w:bCs/>
          <w:color w:val="000000"/>
          <w:u w:val="single"/>
        </w:rPr>
      </w:pPr>
    </w:p>
    <w:p w14:paraId="61921D5D" w14:textId="77777777" w:rsidR="0090398B" w:rsidRDefault="0090398B" w:rsidP="009B6188">
      <w:pPr>
        <w:spacing w:after="0"/>
        <w:rPr>
          <w:rFonts w:ascii="Calibri Light" w:hAnsi="Calibri Light" w:cs="Calibri Light"/>
          <w:b/>
          <w:bCs/>
          <w:color w:val="000000"/>
          <w:u w:val="single"/>
        </w:rPr>
      </w:pPr>
    </w:p>
    <w:p w14:paraId="1887A642" w14:textId="37375A5B" w:rsidR="009B6188" w:rsidRDefault="009B6188" w:rsidP="009B6188">
      <w:pPr>
        <w:spacing w:after="0"/>
        <w:rPr>
          <w:rFonts w:ascii="Calibri Light" w:hAnsi="Calibri Light" w:cs="Calibri Light"/>
          <w:b/>
          <w:bCs/>
          <w:color w:val="000000"/>
          <w:u w:val="single"/>
        </w:rPr>
      </w:pPr>
      <w:r>
        <w:rPr>
          <w:rFonts w:ascii="Calibri Light" w:hAnsi="Calibri Light" w:cs="Calibri Light"/>
          <w:b/>
          <w:bCs/>
          <w:color w:val="000000"/>
          <w:u w:val="single"/>
        </w:rPr>
        <w:t xml:space="preserve">Pinkommunication srl - Ufficio stampa 24MAX </w:t>
      </w:r>
    </w:p>
    <w:p w14:paraId="2701F0B2" w14:textId="77777777" w:rsidR="009B6188" w:rsidRDefault="009B6188" w:rsidP="009B6188">
      <w:pPr>
        <w:spacing w:after="0"/>
        <w:rPr>
          <w:rFonts w:ascii="Calibri Light" w:hAnsi="Calibri Light" w:cs="Calibri Light"/>
          <w:color w:val="000000"/>
        </w:rPr>
      </w:pPr>
      <w:r>
        <w:rPr>
          <w:rFonts w:ascii="Calibri Light" w:hAnsi="Calibri Light" w:cs="Calibri Light"/>
          <w:color w:val="000000"/>
        </w:rPr>
        <w:t xml:space="preserve">Cristina Cortellezzi – Laura Premoli – Claudia Valerani </w:t>
      </w:r>
    </w:p>
    <w:p w14:paraId="107B916B" w14:textId="77777777" w:rsidR="009B6188" w:rsidRDefault="002A24CD" w:rsidP="009B6188">
      <w:pPr>
        <w:spacing w:after="0"/>
        <w:rPr>
          <w:rFonts w:ascii="Calibri Light" w:hAnsi="Calibri Light" w:cs="Calibri Light"/>
          <w:color w:val="000000"/>
        </w:rPr>
      </w:pPr>
      <w:hyperlink r:id="rId10" w:history="1">
        <w:r w:rsidR="009B6188">
          <w:rPr>
            <w:rStyle w:val="Collegamentoipertestuale"/>
            <w:rFonts w:ascii="Calibri Light" w:hAnsi="Calibri Light" w:cs="Calibri Light"/>
            <w:color w:val="000000"/>
          </w:rPr>
          <w:t>info@pinkommunication.it</w:t>
        </w:r>
      </w:hyperlink>
      <w:r w:rsidR="009B6188">
        <w:rPr>
          <w:rFonts w:ascii="Calibri Light" w:hAnsi="Calibri Light" w:cs="Calibri Light"/>
          <w:color w:val="000000"/>
        </w:rPr>
        <w:t xml:space="preserve"> </w:t>
      </w:r>
    </w:p>
    <w:p w14:paraId="6F86648D" w14:textId="77777777" w:rsidR="009B6188" w:rsidRDefault="009B6188" w:rsidP="009B6188">
      <w:pPr>
        <w:spacing w:after="0"/>
        <w:rPr>
          <w:rFonts w:ascii="Calibri Light" w:hAnsi="Calibri Light" w:cs="Calibri Light"/>
          <w:color w:val="000000"/>
        </w:rPr>
      </w:pPr>
      <w:r>
        <w:rPr>
          <w:rFonts w:ascii="Calibri Light" w:hAnsi="Calibri Light" w:cs="Calibri Light"/>
          <w:color w:val="000000"/>
        </w:rPr>
        <w:t>M. 340 1044227</w:t>
      </w:r>
    </w:p>
    <w:p w14:paraId="11CC5549" w14:textId="77777777" w:rsidR="009B6188" w:rsidRPr="00333D5E" w:rsidRDefault="009B6188" w:rsidP="009B6188">
      <w:pPr>
        <w:jc w:val="both"/>
        <w:rPr>
          <w:rFonts w:asciiTheme="majorHAnsi" w:hAnsiTheme="majorHAnsi"/>
        </w:rPr>
      </w:pPr>
    </w:p>
    <w:p w14:paraId="52FD02EA" w14:textId="77777777" w:rsidR="00B175E9" w:rsidRPr="00333D5E" w:rsidRDefault="00B175E9" w:rsidP="009B6188">
      <w:pPr>
        <w:spacing w:after="0"/>
        <w:rPr>
          <w:rFonts w:asciiTheme="majorHAnsi" w:hAnsiTheme="majorHAnsi"/>
        </w:rPr>
      </w:pPr>
    </w:p>
    <w:sectPr w:rsidR="00B175E9" w:rsidRPr="00333D5E" w:rsidSect="003424DE">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7EDFE" w14:textId="77777777" w:rsidR="00EC2941" w:rsidRDefault="00EC2941">
      <w:pPr>
        <w:spacing w:after="0" w:line="240" w:lineRule="auto"/>
      </w:pPr>
      <w:r>
        <w:separator/>
      </w:r>
    </w:p>
  </w:endnote>
  <w:endnote w:type="continuationSeparator" w:id="0">
    <w:p w14:paraId="057C19C8" w14:textId="77777777" w:rsidR="00EC2941" w:rsidRDefault="00EC2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32299" w14:textId="77777777" w:rsidR="00EC2941" w:rsidRDefault="00EC2941">
      <w:pPr>
        <w:spacing w:after="0" w:line="240" w:lineRule="auto"/>
      </w:pPr>
      <w:r>
        <w:separator/>
      </w:r>
    </w:p>
  </w:footnote>
  <w:footnote w:type="continuationSeparator" w:id="0">
    <w:p w14:paraId="48603803" w14:textId="77777777" w:rsidR="00EC2941" w:rsidRDefault="00EC29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9EADC" w14:textId="0B375FA2" w:rsidR="008D1525" w:rsidRPr="008362E7" w:rsidRDefault="00D3255D" w:rsidP="0067023A">
    <w:pPr>
      <w:jc w:val="right"/>
      <w:rPr>
        <w:b/>
        <w:color w:val="FFFFFF" w:themeColor="background1"/>
        <w:sz w:val="20"/>
        <w:szCs w:val="20"/>
      </w:rPr>
    </w:pPr>
    <w:r>
      <w:rPr>
        <w:noProof/>
        <w:lang w:eastAsia="it-IT"/>
      </w:rPr>
      <w:drawing>
        <wp:anchor distT="0" distB="0" distL="114300" distR="114300" simplePos="0" relativeHeight="251660288" behindDoc="1" locked="0" layoutInCell="1" allowOverlap="1" wp14:anchorId="460A9FB5" wp14:editId="209DB327">
          <wp:simplePos x="0" y="0"/>
          <wp:positionH relativeFrom="column">
            <wp:posOffset>53340</wp:posOffset>
          </wp:positionH>
          <wp:positionV relativeFrom="paragraph">
            <wp:posOffset>-22860</wp:posOffset>
          </wp:positionV>
          <wp:extent cx="1375410" cy="411480"/>
          <wp:effectExtent l="19050" t="0" r="0" b="0"/>
          <wp:wrapTight wrapText="bothSides">
            <wp:wrapPolygon edited="0">
              <wp:start x="598" y="0"/>
              <wp:lineTo x="-299" y="3000"/>
              <wp:lineTo x="-299" y="21000"/>
              <wp:lineTo x="21540" y="21000"/>
              <wp:lineTo x="21540" y="20000"/>
              <wp:lineTo x="20942" y="16000"/>
              <wp:lineTo x="21540" y="1000"/>
              <wp:lineTo x="21540" y="0"/>
              <wp:lineTo x="598" y="0"/>
            </wp:wrapPolygon>
          </wp:wrapTight>
          <wp:docPr id="2" name="Immagine 1" descr="24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4max"/>
                  <pic:cNvPicPr>
                    <a:picLocks noChangeAspect="1" noChangeArrowheads="1"/>
                  </pic:cNvPicPr>
                </pic:nvPicPr>
                <pic:blipFill>
                  <a:blip r:embed="rId1"/>
                  <a:srcRect/>
                  <a:stretch>
                    <a:fillRect/>
                  </a:stretch>
                </pic:blipFill>
                <pic:spPr bwMode="auto">
                  <a:xfrm>
                    <a:off x="0" y="0"/>
                    <a:ext cx="1375410" cy="411480"/>
                  </a:xfrm>
                  <a:prstGeom prst="rect">
                    <a:avLst/>
                  </a:prstGeom>
                  <a:noFill/>
                  <a:ln w="9525">
                    <a:noFill/>
                    <a:miter lim="800000"/>
                    <a:headEnd/>
                    <a:tailEnd/>
                  </a:ln>
                </pic:spPr>
              </pic:pic>
            </a:graphicData>
          </a:graphic>
        </wp:anchor>
      </w:drawing>
    </w:r>
    <w:r w:rsidR="00B175E9">
      <w:rPr>
        <w:noProof/>
        <w:lang w:eastAsia="it-IT"/>
      </w:rPr>
      <mc:AlternateContent>
        <mc:Choice Requires="wps">
          <w:drawing>
            <wp:anchor distT="0" distB="0" distL="114300" distR="114300" simplePos="0" relativeHeight="251659264" behindDoc="0" locked="0" layoutInCell="1" allowOverlap="1" wp14:anchorId="4F65B04F" wp14:editId="0ADE3F84">
              <wp:simplePos x="0" y="0"/>
              <wp:positionH relativeFrom="column">
                <wp:posOffset>1575435</wp:posOffset>
              </wp:positionH>
              <wp:positionV relativeFrom="paragraph">
                <wp:posOffset>165735</wp:posOffset>
              </wp:positionV>
              <wp:extent cx="4567555" cy="222250"/>
              <wp:effectExtent l="0" t="0" r="23495" b="2540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7555" cy="222250"/>
                      </a:xfrm>
                      <a:prstGeom prst="rect">
                        <a:avLst/>
                      </a:prstGeom>
                      <a:solidFill>
                        <a:srgbClr val="E72525"/>
                      </a:solidFill>
                      <a:ln>
                        <a:solidFill>
                          <a:srgbClr val="E7252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29B6B8" w14:textId="77777777" w:rsidR="008D1525" w:rsidRPr="008362E7" w:rsidRDefault="00D3255D" w:rsidP="0067023A">
                          <w:pPr>
                            <w:jc w:val="right"/>
                            <w:rPr>
                              <w:b/>
                              <w:color w:val="FFFFFF" w:themeColor="background1"/>
                              <w:sz w:val="20"/>
                              <w:szCs w:val="20"/>
                            </w:rPr>
                          </w:pPr>
                          <w:r w:rsidRPr="008362E7">
                            <w:rPr>
                              <w:b/>
                              <w:color w:val="FFFFFF" w:themeColor="background1"/>
                              <w:sz w:val="20"/>
                              <w:szCs w:val="20"/>
                            </w:rPr>
                            <w:t>COMUNICATO STAMPA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F65B04F" id="Rettangolo 3" o:spid="_x0000_s1026" style="position:absolute;left:0;text-align:left;margin-left:124.05pt;margin-top:13.05pt;width:359.6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" fillcolor="#e72525" strokecolor="#e72525" strokeweight="1pt">
              <v:path arrowok="t"/>
              <v:textbox>
                <w:txbxContent>
                  <w:p w14:paraId="0B29B6B8" w14:textId="77777777" w:rsidR="008D1525" w:rsidRPr="008362E7" w:rsidRDefault="00D3255D" w:rsidP="0067023A">
                    <w:pPr>
                      <w:jc w:val="right"/>
                      <w:rPr>
                        <w:b/>
                        <w:color w:val="FFFFFF" w:themeColor="background1"/>
                        <w:sz w:val="20"/>
                        <w:szCs w:val="20"/>
                      </w:rPr>
                    </w:pPr>
                    <w:r w:rsidRPr="008362E7">
                      <w:rPr>
                        <w:b/>
                        <w:color w:val="FFFFFF" w:themeColor="background1"/>
                        <w:sz w:val="20"/>
                        <w:szCs w:val="20"/>
                      </w:rPr>
                      <w:t>COMUNICATO STAMPA</w:t>
                    </w:r>
                  </w:p>
                </w:txbxContent>
              </v:textbox>
            </v:rect>
          </w:pict>
        </mc:Fallback>
      </mc:AlternateContent>
    </w:r>
    <w:r w:rsidRPr="0067023A">
      <w:rPr>
        <w:b/>
        <w:color w:val="FFFFFF" w:themeColor="background1"/>
        <w:sz w:val="20"/>
        <w:szCs w:val="20"/>
      </w:rPr>
      <w:t xml:space="preserve"> </w:t>
    </w:r>
    <w:r w:rsidRPr="008362E7">
      <w:rPr>
        <w:b/>
        <w:color w:val="FFFFFF" w:themeColor="background1"/>
        <w:sz w:val="20"/>
        <w:szCs w:val="20"/>
      </w:rPr>
      <w:t>COMUNICATO STAMPA</w:t>
    </w:r>
  </w:p>
  <w:p w14:paraId="2D63EA51" w14:textId="77777777" w:rsidR="008D1525" w:rsidRDefault="002A24CD" w:rsidP="0067023A">
    <w:pPr>
      <w:pStyle w:val="Intestazione"/>
    </w:pPr>
  </w:p>
  <w:p w14:paraId="6D20EA95" w14:textId="77777777" w:rsidR="008D1525" w:rsidRDefault="002A24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92C1A"/>
    <w:multiLevelType w:val="hybridMultilevel"/>
    <w:tmpl w:val="21D40F3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4E74E9F"/>
    <w:multiLevelType w:val="hybridMultilevel"/>
    <w:tmpl w:val="F2B49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877B2A"/>
    <w:multiLevelType w:val="hybridMultilevel"/>
    <w:tmpl w:val="76DE7C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92F2C28"/>
    <w:multiLevelType w:val="hybridMultilevel"/>
    <w:tmpl w:val="7E28682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D2702F2"/>
    <w:multiLevelType w:val="hybridMultilevel"/>
    <w:tmpl w:val="5F9EB86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76"/>
    <w:rsid w:val="00016576"/>
    <w:rsid w:val="00025CF9"/>
    <w:rsid w:val="0003014C"/>
    <w:rsid w:val="000479AF"/>
    <w:rsid w:val="00060E23"/>
    <w:rsid w:val="0006114E"/>
    <w:rsid w:val="000665F4"/>
    <w:rsid w:val="00076176"/>
    <w:rsid w:val="00095ACD"/>
    <w:rsid w:val="000D6725"/>
    <w:rsid w:val="00100029"/>
    <w:rsid w:val="00134BC7"/>
    <w:rsid w:val="00156F97"/>
    <w:rsid w:val="00163B64"/>
    <w:rsid w:val="00175FD3"/>
    <w:rsid w:val="00177DB4"/>
    <w:rsid w:val="00190E53"/>
    <w:rsid w:val="001C355C"/>
    <w:rsid w:val="001E0687"/>
    <w:rsid w:val="001E1ABF"/>
    <w:rsid w:val="001E6543"/>
    <w:rsid w:val="00206087"/>
    <w:rsid w:val="00263B3A"/>
    <w:rsid w:val="002A0104"/>
    <w:rsid w:val="002A24CD"/>
    <w:rsid w:val="002B7821"/>
    <w:rsid w:val="00306769"/>
    <w:rsid w:val="00362317"/>
    <w:rsid w:val="003A5BEA"/>
    <w:rsid w:val="003C2EB5"/>
    <w:rsid w:val="0042232D"/>
    <w:rsid w:val="0042437A"/>
    <w:rsid w:val="00434D8D"/>
    <w:rsid w:val="00443FF2"/>
    <w:rsid w:val="00464275"/>
    <w:rsid w:val="00475D38"/>
    <w:rsid w:val="004C4F7A"/>
    <w:rsid w:val="004D3605"/>
    <w:rsid w:val="005B4383"/>
    <w:rsid w:val="005B75FF"/>
    <w:rsid w:val="006062A1"/>
    <w:rsid w:val="0061296E"/>
    <w:rsid w:val="00687D84"/>
    <w:rsid w:val="006A05F7"/>
    <w:rsid w:val="006C00B1"/>
    <w:rsid w:val="006D0F77"/>
    <w:rsid w:val="006D2903"/>
    <w:rsid w:val="006D4162"/>
    <w:rsid w:val="006F1933"/>
    <w:rsid w:val="006F75D1"/>
    <w:rsid w:val="006F7DB0"/>
    <w:rsid w:val="007043BF"/>
    <w:rsid w:val="007261F0"/>
    <w:rsid w:val="00743B84"/>
    <w:rsid w:val="00753383"/>
    <w:rsid w:val="007E1878"/>
    <w:rsid w:val="00816AC1"/>
    <w:rsid w:val="008275B8"/>
    <w:rsid w:val="00831E88"/>
    <w:rsid w:val="00852589"/>
    <w:rsid w:val="00870D1C"/>
    <w:rsid w:val="00875B16"/>
    <w:rsid w:val="008B0921"/>
    <w:rsid w:val="008D43AA"/>
    <w:rsid w:val="008D5051"/>
    <w:rsid w:val="008F14A6"/>
    <w:rsid w:val="008F18F2"/>
    <w:rsid w:val="009024BB"/>
    <w:rsid w:val="0090398B"/>
    <w:rsid w:val="00904611"/>
    <w:rsid w:val="00920C1C"/>
    <w:rsid w:val="009237DC"/>
    <w:rsid w:val="00942B90"/>
    <w:rsid w:val="00953431"/>
    <w:rsid w:val="009821CE"/>
    <w:rsid w:val="00990328"/>
    <w:rsid w:val="00990F15"/>
    <w:rsid w:val="009A61D7"/>
    <w:rsid w:val="009B6188"/>
    <w:rsid w:val="009E0A18"/>
    <w:rsid w:val="00A043A2"/>
    <w:rsid w:val="00A06C58"/>
    <w:rsid w:val="00A30674"/>
    <w:rsid w:val="00A41305"/>
    <w:rsid w:val="00A7030C"/>
    <w:rsid w:val="00AD1DEC"/>
    <w:rsid w:val="00AD1DF3"/>
    <w:rsid w:val="00B0075A"/>
    <w:rsid w:val="00B02363"/>
    <w:rsid w:val="00B175E9"/>
    <w:rsid w:val="00BE5494"/>
    <w:rsid w:val="00C044CF"/>
    <w:rsid w:val="00C24749"/>
    <w:rsid w:val="00C35D90"/>
    <w:rsid w:val="00C54440"/>
    <w:rsid w:val="00CB4B7E"/>
    <w:rsid w:val="00CC588D"/>
    <w:rsid w:val="00CD4849"/>
    <w:rsid w:val="00CE0A36"/>
    <w:rsid w:val="00D3255D"/>
    <w:rsid w:val="00D332A4"/>
    <w:rsid w:val="00D41AAF"/>
    <w:rsid w:val="00D561B6"/>
    <w:rsid w:val="00D93F78"/>
    <w:rsid w:val="00D96E6D"/>
    <w:rsid w:val="00DF1891"/>
    <w:rsid w:val="00DF6F56"/>
    <w:rsid w:val="00E27BB2"/>
    <w:rsid w:val="00E776DD"/>
    <w:rsid w:val="00EB0F80"/>
    <w:rsid w:val="00EC15E1"/>
    <w:rsid w:val="00EC27CB"/>
    <w:rsid w:val="00EC2941"/>
    <w:rsid w:val="00ED0822"/>
    <w:rsid w:val="00F051BD"/>
    <w:rsid w:val="00F11171"/>
    <w:rsid w:val="00F338EC"/>
    <w:rsid w:val="00F339EB"/>
    <w:rsid w:val="00F77D4F"/>
    <w:rsid w:val="00FA02FB"/>
    <w:rsid w:val="00FE18C4"/>
    <w:rsid w:val="00FE4A1B"/>
    <w:rsid w:val="00FF19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C7190"/>
  <w15:chartTrackingRefBased/>
  <w15:docId w15:val="{3C879C6F-5246-49AA-810F-841CD3B8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75E9"/>
  </w:style>
  <w:style w:type="paragraph" w:styleId="Titolo2">
    <w:name w:val="heading 2"/>
    <w:basedOn w:val="Normale"/>
    <w:link w:val="Titolo2Carattere"/>
    <w:uiPriority w:val="9"/>
    <w:qFormat/>
    <w:rsid w:val="002A0104"/>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175E9"/>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basedOn w:val="Carpredefinitoparagrafo"/>
    <w:uiPriority w:val="99"/>
    <w:unhideWhenUsed/>
    <w:rsid w:val="00B175E9"/>
    <w:rPr>
      <w:color w:val="0563C1"/>
      <w:u w:val="single"/>
    </w:rPr>
  </w:style>
  <w:style w:type="paragraph" w:styleId="Intestazione">
    <w:name w:val="header"/>
    <w:basedOn w:val="Normale"/>
    <w:link w:val="IntestazioneCarattere"/>
    <w:uiPriority w:val="99"/>
    <w:unhideWhenUsed/>
    <w:rsid w:val="00B175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75E9"/>
  </w:style>
  <w:style w:type="paragraph" w:styleId="NormaleWeb">
    <w:name w:val="Normal (Web)"/>
    <w:basedOn w:val="Normale"/>
    <w:uiPriority w:val="99"/>
    <w:unhideWhenUsed/>
    <w:rsid w:val="00B175E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rsid w:val="002A0104"/>
    <w:rPr>
      <w:rFonts w:ascii="Times New Roman" w:eastAsia="Times New Roman" w:hAnsi="Times New Roman" w:cs="Times New Roman"/>
      <w:b/>
      <w:bCs/>
      <w:sz w:val="36"/>
      <w:szCs w:val="36"/>
      <w:lang w:eastAsia="it-IT"/>
    </w:rPr>
  </w:style>
  <w:style w:type="character" w:styleId="Enfasigrassetto">
    <w:name w:val="Strong"/>
    <w:basedOn w:val="Carpredefinitoparagrafo"/>
    <w:uiPriority w:val="22"/>
    <w:qFormat/>
    <w:rsid w:val="002A0104"/>
    <w:rPr>
      <w:b/>
      <w:bCs/>
    </w:rPr>
  </w:style>
  <w:style w:type="paragraph" w:styleId="Testofumetto">
    <w:name w:val="Balloon Text"/>
    <w:basedOn w:val="Normale"/>
    <w:link w:val="TestofumettoCarattere"/>
    <w:uiPriority w:val="99"/>
    <w:semiHidden/>
    <w:unhideWhenUsed/>
    <w:rsid w:val="00AD1DF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D1DF3"/>
    <w:rPr>
      <w:rFonts w:ascii="Segoe UI" w:hAnsi="Segoe UI" w:cs="Segoe UI"/>
      <w:sz w:val="18"/>
      <w:szCs w:val="18"/>
    </w:rPr>
  </w:style>
  <w:style w:type="paragraph" w:styleId="Paragrafoelenco">
    <w:name w:val="List Paragraph"/>
    <w:basedOn w:val="Normale"/>
    <w:uiPriority w:val="34"/>
    <w:qFormat/>
    <w:rsid w:val="00C54440"/>
    <w:pPr>
      <w:ind w:left="720"/>
      <w:contextualSpacing/>
    </w:pPr>
  </w:style>
  <w:style w:type="character" w:customStyle="1" w:styleId="Menzionenonrisolta1">
    <w:name w:val="Menzione non risolta1"/>
    <w:basedOn w:val="Carpredefinitoparagrafo"/>
    <w:uiPriority w:val="99"/>
    <w:semiHidden/>
    <w:unhideWhenUsed/>
    <w:rsid w:val="00E27BB2"/>
    <w:rPr>
      <w:color w:val="605E5C"/>
      <w:shd w:val="clear" w:color="auto" w:fill="E1DFDD"/>
    </w:rPr>
  </w:style>
  <w:style w:type="paragraph" w:styleId="Testonormale">
    <w:name w:val="Plain Text"/>
    <w:basedOn w:val="Normale"/>
    <w:link w:val="TestonormaleCarattere"/>
    <w:uiPriority w:val="99"/>
    <w:semiHidden/>
    <w:unhideWhenUsed/>
    <w:rsid w:val="00AD1DEC"/>
    <w:pPr>
      <w:spacing w:after="0" w:line="240" w:lineRule="auto"/>
    </w:pPr>
    <w:rPr>
      <w:rFonts w:ascii="Calibri" w:hAnsi="Calibri" w:cs="Consolas"/>
      <w:szCs w:val="21"/>
    </w:rPr>
  </w:style>
  <w:style w:type="character" w:customStyle="1" w:styleId="TestonormaleCarattere">
    <w:name w:val="Testo normale Carattere"/>
    <w:basedOn w:val="Carpredefinitoparagrafo"/>
    <w:link w:val="Testonormale"/>
    <w:uiPriority w:val="99"/>
    <w:semiHidden/>
    <w:rsid w:val="00AD1DEC"/>
    <w:rPr>
      <w:rFonts w:ascii="Calibri" w:hAnsi="Calibri" w:cs="Consolas"/>
      <w:szCs w:val="21"/>
    </w:rPr>
  </w:style>
  <w:style w:type="paragraph" w:styleId="Pidipagina">
    <w:name w:val="footer"/>
    <w:basedOn w:val="Normale"/>
    <w:link w:val="PidipaginaCarattere"/>
    <w:uiPriority w:val="99"/>
    <w:unhideWhenUsed/>
    <w:rsid w:val="00743B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43B84"/>
  </w:style>
  <w:style w:type="character" w:styleId="Rimandocommento">
    <w:name w:val="annotation reference"/>
    <w:basedOn w:val="Carpredefinitoparagrafo"/>
    <w:uiPriority w:val="99"/>
    <w:semiHidden/>
    <w:unhideWhenUsed/>
    <w:rsid w:val="00362317"/>
    <w:rPr>
      <w:sz w:val="16"/>
      <w:szCs w:val="16"/>
    </w:rPr>
  </w:style>
  <w:style w:type="paragraph" w:styleId="Testocommento">
    <w:name w:val="annotation text"/>
    <w:basedOn w:val="Normale"/>
    <w:link w:val="TestocommentoCarattere"/>
    <w:uiPriority w:val="99"/>
    <w:semiHidden/>
    <w:unhideWhenUsed/>
    <w:rsid w:val="0036231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62317"/>
    <w:rPr>
      <w:sz w:val="20"/>
      <w:szCs w:val="20"/>
    </w:rPr>
  </w:style>
  <w:style w:type="paragraph" w:styleId="Soggettocommento">
    <w:name w:val="annotation subject"/>
    <w:basedOn w:val="Testocommento"/>
    <w:next w:val="Testocommento"/>
    <w:link w:val="SoggettocommentoCarattere"/>
    <w:uiPriority w:val="99"/>
    <w:semiHidden/>
    <w:unhideWhenUsed/>
    <w:rsid w:val="00362317"/>
    <w:rPr>
      <w:b/>
      <w:bCs/>
    </w:rPr>
  </w:style>
  <w:style w:type="character" w:customStyle="1" w:styleId="SoggettocommentoCarattere">
    <w:name w:val="Soggetto commento Carattere"/>
    <w:basedOn w:val="TestocommentoCarattere"/>
    <w:link w:val="Soggettocommento"/>
    <w:uiPriority w:val="99"/>
    <w:semiHidden/>
    <w:rsid w:val="00362317"/>
    <w:rPr>
      <w:b/>
      <w:bCs/>
      <w:sz w:val="20"/>
      <w:szCs w:val="20"/>
    </w:rPr>
  </w:style>
  <w:style w:type="character" w:styleId="Menzionenonrisolta">
    <w:name w:val="Unresolved Mention"/>
    <w:basedOn w:val="Carpredefinitoparagrafo"/>
    <w:uiPriority w:val="99"/>
    <w:semiHidden/>
    <w:unhideWhenUsed/>
    <w:rsid w:val="00060E23"/>
    <w:rPr>
      <w:color w:val="605E5C"/>
      <w:shd w:val="clear" w:color="auto" w:fill="E1DFDD"/>
    </w:rPr>
  </w:style>
  <w:style w:type="paragraph" w:styleId="Revisione">
    <w:name w:val="Revision"/>
    <w:hidden/>
    <w:uiPriority w:val="99"/>
    <w:semiHidden/>
    <w:rsid w:val="00F051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023859">
      <w:bodyDiv w:val="1"/>
      <w:marLeft w:val="0"/>
      <w:marRight w:val="0"/>
      <w:marTop w:val="0"/>
      <w:marBottom w:val="0"/>
      <w:divBdr>
        <w:top w:val="none" w:sz="0" w:space="0" w:color="auto"/>
        <w:left w:val="none" w:sz="0" w:space="0" w:color="auto"/>
        <w:bottom w:val="none" w:sz="0" w:space="0" w:color="auto"/>
        <w:right w:val="none" w:sz="0" w:space="0" w:color="auto"/>
      </w:divBdr>
    </w:div>
    <w:div w:id="536084937">
      <w:bodyDiv w:val="1"/>
      <w:marLeft w:val="0"/>
      <w:marRight w:val="0"/>
      <w:marTop w:val="0"/>
      <w:marBottom w:val="0"/>
      <w:divBdr>
        <w:top w:val="none" w:sz="0" w:space="0" w:color="auto"/>
        <w:left w:val="none" w:sz="0" w:space="0" w:color="auto"/>
        <w:bottom w:val="none" w:sz="0" w:space="0" w:color="auto"/>
        <w:right w:val="none" w:sz="0" w:space="0" w:color="auto"/>
      </w:divBdr>
    </w:div>
    <w:div w:id="20590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4max.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pinkommunication.it" TargetMode="External"/><Relationship Id="rId4" Type="http://schemas.openxmlformats.org/officeDocument/2006/relationships/settings" Target="settings.xml"/><Relationship Id="rId9" Type="http://schemas.openxmlformats.org/officeDocument/2006/relationships/hyperlink" Target="http://www.remax.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AD6D4-3627-43C4-BF6D-B27AC56DE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894</Words>
  <Characters>5097</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Laura Premoli</cp:lastModifiedBy>
  <cp:revision>6</cp:revision>
  <dcterms:created xsi:type="dcterms:W3CDTF">2022-01-31T17:56:00Z</dcterms:created>
  <dcterms:modified xsi:type="dcterms:W3CDTF">2022-02-01T16:14:00Z</dcterms:modified>
</cp:coreProperties>
</file>