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108A7" w14:textId="77777777" w:rsidR="00BE4B7F" w:rsidRPr="00C16DB5" w:rsidRDefault="00BE4B7F" w:rsidP="00C16DB5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</w:pPr>
      <w:r w:rsidRPr="00C16DB5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 xml:space="preserve">Real estate in USA: a gennaio diminuzione stagionale delle vendite </w:t>
      </w:r>
    </w:p>
    <w:p w14:paraId="0494E0B1" w14:textId="77777777" w:rsidR="00BE4B7F" w:rsidRDefault="00BE4B7F" w:rsidP="00C16DB5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</w:pPr>
      <w:r w:rsidRPr="00C16DB5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 xml:space="preserve">a fronte di un’offerta in costante contrazione da sei mesi </w:t>
      </w:r>
    </w:p>
    <w:p w14:paraId="3F619838" w14:textId="49F3F177" w:rsidR="00AD02B9" w:rsidRDefault="00BE4B7F" w:rsidP="00C16DB5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</w:pPr>
      <w:r w:rsidRPr="00C16DB5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it-IT"/>
        </w:rPr>
        <w:t>e prezzi in significativo aumento anno su anno</w:t>
      </w:r>
    </w:p>
    <w:p w14:paraId="710A92B8" w14:textId="30115D4D" w:rsidR="00AD02B9" w:rsidRPr="00C16DB5" w:rsidRDefault="00AD02B9" w:rsidP="00C16DB5">
      <w:pPr>
        <w:spacing w:after="0" w:line="276" w:lineRule="auto"/>
        <w:jc w:val="center"/>
        <w:rPr>
          <w:rFonts w:asciiTheme="majorHAnsi" w:eastAsia="Times New Roman" w:hAnsiTheme="majorHAnsi" w:cs="Arial"/>
          <w:b/>
          <w:bCs/>
          <w:i/>
          <w:iCs/>
          <w:color w:val="FF0000"/>
          <w:sz w:val="28"/>
          <w:szCs w:val="28"/>
          <w:lang w:eastAsia="it-IT"/>
        </w:rPr>
      </w:pPr>
      <w:r w:rsidRPr="00C16DB5">
        <w:rPr>
          <w:rFonts w:asciiTheme="majorHAnsi" w:eastAsia="Times New Roman" w:hAnsiTheme="majorHAnsi" w:cs="Arial"/>
          <w:b/>
          <w:bCs/>
          <w:i/>
          <w:iCs/>
          <w:color w:val="FF0000"/>
          <w:sz w:val="28"/>
          <w:szCs w:val="28"/>
          <w:lang w:eastAsia="it-IT"/>
        </w:rPr>
        <w:t>Condizioni che fanno prevedere secondo RE/MAX una primavera vivace</w:t>
      </w:r>
    </w:p>
    <w:p w14:paraId="40D8ECE2" w14:textId="77777777" w:rsidR="00BE4B7F" w:rsidRDefault="00BE4B7F" w:rsidP="00C16DB5">
      <w:pPr>
        <w:spacing w:after="0" w:line="276" w:lineRule="auto"/>
        <w:rPr>
          <w:rFonts w:asciiTheme="majorHAnsi" w:eastAsia="Times New Roman" w:hAnsiTheme="majorHAnsi" w:cs="Arial"/>
        </w:rPr>
      </w:pPr>
    </w:p>
    <w:p w14:paraId="700D4954" w14:textId="1F931764" w:rsidR="00E96BC1" w:rsidRPr="00E96BC1" w:rsidRDefault="00C37CCA" w:rsidP="00C16DB5">
      <w:pPr>
        <w:spacing w:after="0" w:line="276" w:lineRule="auto"/>
        <w:rPr>
          <w:rFonts w:asciiTheme="majorHAnsi" w:eastAsia="Times New Roman" w:hAnsiTheme="majorHAnsi" w:cs="Arial"/>
        </w:rPr>
      </w:pPr>
      <w:bookmarkStart w:id="0" w:name="_Hlk97720707"/>
      <w:r w:rsidRPr="00B46790">
        <w:rPr>
          <w:rFonts w:asciiTheme="majorHAnsi" w:eastAsia="Times New Roman" w:hAnsiTheme="majorHAnsi" w:cs="Arial"/>
          <w:b/>
          <w:bCs/>
        </w:rPr>
        <w:t>In USA a</w:t>
      </w:r>
      <w:r w:rsidR="00E96BC1" w:rsidRPr="00B46790">
        <w:rPr>
          <w:rFonts w:asciiTheme="majorHAnsi" w:eastAsia="Times New Roman" w:hAnsiTheme="majorHAnsi" w:cs="Arial"/>
          <w:b/>
          <w:bCs/>
        </w:rPr>
        <w:t xml:space="preserve"> gennaio</w:t>
      </w:r>
      <w:r w:rsidRPr="00B46790">
        <w:rPr>
          <w:rFonts w:asciiTheme="majorHAnsi" w:eastAsia="Times New Roman" w:hAnsiTheme="majorHAnsi" w:cs="Arial"/>
          <w:b/>
          <w:bCs/>
        </w:rPr>
        <w:t xml:space="preserve"> 2021</w:t>
      </w:r>
      <w:r w:rsidR="00E96BC1" w:rsidRPr="00B46790">
        <w:rPr>
          <w:rFonts w:asciiTheme="majorHAnsi" w:eastAsia="Times New Roman" w:hAnsiTheme="majorHAnsi" w:cs="Arial"/>
          <w:b/>
          <w:bCs/>
        </w:rPr>
        <w:t xml:space="preserve"> le vendite di case hanno perso il 31,4% rispetto al totale di dicembre</w:t>
      </w:r>
      <w:r w:rsidR="00E96BC1" w:rsidRPr="00E96BC1">
        <w:rPr>
          <w:rFonts w:asciiTheme="majorHAnsi" w:eastAsia="Times New Roman" w:hAnsiTheme="majorHAnsi" w:cs="Arial"/>
        </w:rPr>
        <w:t>, registrando un calo lievemente superiore alla norma stagionale</w:t>
      </w:r>
      <w:r>
        <w:rPr>
          <w:rFonts w:asciiTheme="majorHAnsi" w:eastAsia="Times New Roman" w:hAnsiTheme="majorHAnsi" w:cs="Arial"/>
        </w:rPr>
        <w:t>;</w:t>
      </w:r>
      <w:r w:rsidR="00E96BC1" w:rsidRPr="00E96BC1">
        <w:rPr>
          <w:rFonts w:asciiTheme="majorHAnsi" w:eastAsia="Times New Roman" w:hAnsiTheme="majorHAnsi" w:cs="Arial"/>
        </w:rPr>
        <w:t xml:space="preserve"> </w:t>
      </w:r>
      <w:r>
        <w:rPr>
          <w:rFonts w:asciiTheme="majorHAnsi" w:eastAsia="Times New Roman" w:hAnsiTheme="majorHAnsi" w:cs="Arial"/>
        </w:rPr>
        <w:t>anche</w:t>
      </w:r>
      <w:r w:rsidRPr="00E96BC1">
        <w:rPr>
          <w:rFonts w:asciiTheme="majorHAnsi" w:eastAsia="Times New Roman" w:hAnsiTheme="majorHAnsi" w:cs="Arial"/>
        </w:rPr>
        <w:t xml:space="preserve"> </w:t>
      </w:r>
      <w:r w:rsidR="00E96BC1" w:rsidRPr="00B46790">
        <w:rPr>
          <w:rFonts w:asciiTheme="majorHAnsi" w:eastAsia="Times New Roman" w:hAnsiTheme="majorHAnsi" w:cs="Arial"/>
          <w:b/>
          <w:bCs/>
        </w:rPr>
        <w:t xml:space="preserve">l'offerta </w:t>
      </w:r>
      <w:r w:rsidRPr="00B46790">
        <w:rPr>
          <w:rFonts w:asciiTheme="majorHAnsi" w:eastAsia="Times New Roman" w:hAnsiTheme="majorHAnsi" w:cs="Arial"/>
          <w:b/>
          <w:bCs/>
        </w:rPr>
        <w:t xml:space="preserve">ha registrato una contrazione che si protrae da sei </w:t>
      </w:r>
      <w:r>
        <w:rPr>
          <w:rFonts w:asciiTheme="majorHAnsi" w:eastAsia="Times New Roman" w:hAnsiTheme="majorHAnsi" w:cs="Arial"/>
        </w:rPr>
        <w:t xml:space="preserve">mesi </w:t>
      </w:r>
      <w:r w:rsidR="00E96BC1" w:rsidRPr="00E96BC1">
        <w:rPr>
          <w:rFonts w:asciiTheme="majorHAnsi" w:eastAsia="Times New Roman" w:hAnsiTheme="majorHAnsi" w:cs="Arial"/>
        </w:rPr>
        <w:t>consecutiv</w:t>
      </w:r>
      <w:r w:rsidR="00A72CAF">
        <w:rPr>
          <w:rFonts w:asciiTheme="majorHAnsi" w:eastAsia="Times New Roman" w:hAnsiTheme="majorHAnsi" w:cs="Arial"/>
        </w:rPr>
        <w:t>i</w:t>
      </w:r>
      <w:r w:rsidR="00E96BC1" w:rsidRPr="00E96BC1">
        <w:rPr>
          <w:rFonts w:asciiTheme="majorHAnsi" w:eastAsia="Times New Roman" w:hAnsiTheme="majorHAnsi" w:cs="Arial"/>
        </w:rPr>
        <w:t xml:space="preserve">. Rispetto a gennaio </w:t>
      </w:r>
      <w:r>
        <w:rPr>
          <w:rFonts w:asciiTheme="majorHAnsi" w:eastAsia="Times New Roman" w:hAnsiTheme="majorHAnsi" w:cs="Arial"/>
        </w:rPr>
        <w:t xml:space="preserve">2020 </w:t>
      </w:r>
      <w:r w:rsidR="00E96BC1" w:rsidRPr="00E96BC1">
        <w:rPr>
          <w:rFonts w:asciiTheme="majorHAnsi" w:eastAsia="Times New Roman" w:hAnsiTheme="majorHAnsi" w:cs="Arial"/>
        </w:rPr>
        <w:t>le vendite sono diminuite del 5,3%.</w:t>
      </w:r>
    </w:p>
    <w:p w14:paraId="48C3186C" w14:textId="6C3F17A5" w:rsidR="00E96BC1" w:rsidRPr="00E96BC1" w:rsidRDefault="00C37CCA" w:rsidP="00E96BC1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>In ambito residenziale, la flessione tra dicembre e gennaio è normale e prevedibile. Difatti n</w:t>
      </w:r>
      <w:r w:rsidR="00E96BC1" w:rsidRPr="00E96BC1">
        <w:rPr>
          <w:rFonts w:asciiTheme="majorHAnsi" w:eastAsia="Times New Roman" w:hAnsiTheme="majorHAnsi" w:cs="Arial"/>
        </w:rPr>
        <w:t>egli ultimi cinque anni (2017-2021) il calo delle vendite di case da dicembre a gennaio è stato mediamente pari al 28,0%.</w:t>
      </w:r>
    </w:p>
    <w:p w14:paraId="7F8CB947" w14:textId="0A94FA15" w:rsidR="00E96BC1" w:rsidRPr="00E96BC1" w:rsidRDefault="00E96BC1" w:rsidP="00E96BC1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 xml:space="preserve">In tutte le 51 aree metropolitane </w:t>
      </w:r>
      <w:r w:rsidR="00C37CCA">
        <w:rPr>
          <w:rFonts w:asciiTheme="majorHAnsi" w:eastAsia="Times New Roman" w:hAnsiTheme="majorHAnsi" w:cs="Arial"/>
        </w:rPr>
        <w:t>analizzate</w:t>
      </w:r>
      <w:r w:rsidR="00C37CCA" w:rsidRPr="00E96BC1">
        <w:rPr>
          <w:rFonts w:asciiTheme="majorHAnsi" w:eastAsia="Times New Roman" w:hAnsiTheme="majorHAnsi" w:cs="Arial"/>
        </w:rPr>
        <w:t xml:space="preserve"> </w:t>
      </w:r>
      <w:r w:rsidRPr="00E96BC1">
        <w:rPr>
          <w:rFonts w:asciiTheme="majorHAnsi" w:eastAsia="Times New Roman" w:hAnsiTheme="majorHAnsi" w:cs="Arial"/>
        </w:rPr>
        <w:t xml:space="preserve">nel </w:t>
      </w:r>
      <w:r w:rsidR="00C37CCA" w:rsidRPr="00B46790">
        <w:rPr>
          <w:rFonts w:asciiTheme="majorHAnsi" w:eastAsia="Times New Roman" w:hAnsiTheme="majorHAnsi" w:cs="Arial"/>
          <w:b/>
          <w:bCs/>
        </w:rPr>
        <w:t>R</w:t>
      </w:r>
      <w:r w:rsidRPr="00B46790">
        <w:rPr>
          <w:rFonts w:asciiTheme="majorHAnsi" w:eastAsia="Times New Roman" w:hAnsiTheme="majorHAnsi" w:cs="Arial"/>
          <w:b/>
          <w:bCs/>
        </w:rPr>
        <w:t>eport</w:t>
      </w:r>
      <w:r w:rsidR="00C37CCA" w:rsidRPr="00B46790">
        <w:rPr>
          <w:rFonts w:asciiTheme="majorHAnsi" w:eastAsia="Times New Roman" w:hAnsiTheme="majorHAnsi" w:cs="Arial"/>
          <w:b/>
          <w:bCs/>
        </w:rPr>
        <w:t xml:space="preserve"> RE/MAX</w:t>
      </w:r>
      <w:r w:rsidRPr="00E96BC1">
        <w:rPr>
          <w:rFonts w:asciiTheme="majorHAnsi" w:eastAsia="Times New Roman" w:hAnsiTheme="majorHAnsi" w:cs="Arial"/>
        </w:rPr>
        <w:t xml:space="preserve"> il prezzo di vendita medio è rimasto stabile </w:t>
      </w:r>
      <w:r w:rsidR="00C37CCA">
        <w:rPr>
          <w:rFonts w:asciiTheme="majorHAnsi" w:eastAsia="Times New Roman" w:hAnsiTheme="majorHAnsi" w:cs="Arial"/>
        </w:rPr>
        <w:t xml:space="preserve">eguagliando i </w:t>
      </w:r>
      <w:r w:rsidRPr="00E96BC1">
        <w:rPr>
          <w:rFonts w:asciiTheme="majorHAnsi" w:eastAsia="Times New Roman" w:hAnsiTheme="majorHAnsi" w:cs="Arial"/>
        </w:rPr>
        <w:t>335.000 dollari di dicembre</w:t>
      </w:r>
      <w:r w:rsidR="00C37CCA">
        <w:rPr>
          <w:rFonts w:asciiTheme="majorHAnsi" w:eastAsia="Times New Roman" w:hAnsiTheme="majorHAnsi" w:cs="Arial"/>
        </w:rPr>
        <w:t>, dato record inferiore di</w:t>
      </w:r>
      <w:r w:rsidRPr="00E96BC1">
        <w:rPr>
          <w:rFonts w:asciiTheme="majorHAnsi" w:eastAsia="Times New Roman" w:hAnsiTheme="majorHAnsi" w:cs="Arial"/>
        </w:rPr>
        <w:t xml:space="preserve"> soli 5.000 dollari </w:t>
      </w:r>
      <w:r w:rsidR="00C37CCA">
        <w:rPr>
          <w:rFonts w:asciiTheme="majorHAnsi" w:eastAsia="Times New Roman" w:hAnsiTheme="majorHAnsi" w:cs="Arial"/>
        </w:rPr>
        <w:t xml:space="preserve">rispetto </w:t>
      </w:r>
      <w:r w:rsidRPr="00E96BC1">
        <w:rPr>
          <w:rFonts w:asciiTheme="majorHAnsi" w:eastAsia="Times New Roman" w:hAnsiTheme="majorHAnsi" w:cs="Arial"/>
        </w:rPr>
        <w:t xml:space="preserve">al massimo storico </w:t>
      </w:r>
      <w:r w:rsidR="00C37CCA">
        <w:rPr>
          <w:rFonts w:asciiTheme="majorHAnsi" w:eastAsia="Times New Roman" w:hAnsiTheme="majorHAnsi" w:cs="Arial"/>
        </w:rPr>
        <w:t xml:space="preserve">di </w:t>
      </w:r>
      <w:r w:rsidRPr="00E96BC1">
        <w:rPr>
          <w:rFonts w:asciiTheme="majorHAnsi" w:eastAsia="Times New Roman" w:hAnsiTheme="majorHAnsi" w:cs="Arial"/>
        </w:rPr>
        <w:t xml:space="preserve">340.000 dollari </w:t>
      </w:r>
      <w:r w:rsidR="00A72CAF">
        <w:rPr>
          <w:rFonts w:asciiTheme="majorHAnsi" w:eastAsia="Times New Roman" w:hAnsiTheme="majorHAnsi" w:cs="Arial"/>
        </w:rPr>
        <w:t>registrato da</w:t>
      </w:r>
      <w:r w:rsidR="00A72CAF" w:rsidRPr="00E96BC1">
        <w:rPr>
          <w:rFonts w:asciiTheme="majorHAnsi" w:eastAsia="Times New Roman" w:hAnsiTheme="majorHAnsi" w:cs="Arial"/>
        </w:rPr>
        <w:t xml:space="preserve">l </w:t>
      </w:r>
      <w:r w:rsidR="00A72CAF">
        <w:rPr>
          <w:rFonts w:asciiTheme="majorHAnsi" w:eastAsia="Times New Roman" w:hAnsiTheme="majorHAnsi" w:cs="Arial"/>
        </w:rPr>
        <w:t>R</w:t>
      </w:r>
      <w:r w:rsidR="00A72CAF" w:rsidRPr="00E96BC1">
        <w:rPr>
          <w:rFonts w:asciiTheme="majorHAnsi" w:eastAsia="Times New Roman" w:hAnsiTheme="majorHAnsi" w:cs="Arial"/>
        </w:rPr>
        <w:t>eport</w:t>
      </w:r>
      <w:r w:rsidR="00A72CAF">
        <w:rPr>
          <w:rFonts w:asciiTheme="majorHAnsi" w:eastAsia="Times New Roman" w:hAnsiTheme="majorHAnsi" w:cs="Arial"/>
        </w:rPr>
        <w:t xml:space="preserve"> RE/MAX </w:t>
      </w:r>
      <w:r w:rsidRPr="00E96BC1">
        <w:rPr>
          <w:rFonts w:asciiTheme="majorHAnsi" w:eastAsia="Times New Roman" w:hAnsiTheme="majorHAnsi" w:cs="Arial"/>
        </w:rPr>
        <w:t xml:space="preserve">nell'ottobre 2021. </w:t>
      </w:r>
      <w:r w:rsidRPr="00B46790">
        <w:rPr>
          <w:rFonts w:asciiTheme="majorHAnsi" w:eastAsia="Times New Roman" w:hAnsiTheme="majorHAnsi" w:cs="Arial"/>
          <w:b/>
          <w:bCs/>
        </w:rPr>
        <w:t xml:space="preserve">Gli aumenti </w:t>
      </w:r>
      <w:r w:rsidR="00C37CCA" w:rsidRPr="00B46790">
        <w:rPr>
          <w:rFonts w:asciiTheme="majorHAnsi" w:eastAsia="Times New Roman" w:hAnsiTheme="majorHAnsi" w:cs="Arial"/>
          <w:b/>
          <w:bCs/>
        </w:rPr>
        <w:t xml:space="preserve">dei prezzi </w:t>
      </w:r>
      <w:r w:rsidRPr="00B46790">
        <w:rPr>
          <w:rFonts w:asciiTheme="majorHAnsi" w:eastAsia="Times New Roman" w:hAnsiTheme="majorHAnsi" w:cs="Arial"/>
          <w:b/>
          <w:bCs/>
        </w:rPr>
        <w:t xml:space="preserve">anno su anno </w:t>
      </w:r>
      <w:r w:rsidR="00C37CCA" w:rsidRPr="00B46790">
        <w:rPr>
          <w:rFonts w:asciiTheme="majorHAnsi" w:eastAsia="Times New Roman" w:hAnsiTheme="majorHAnsi" w:cs="Arial"/>
          <w:b/>
          <w:bCs/>
        </w:rPr>
        <w:t>si confermano</w:t>
      </w:r>
      <w:r w:rsidRPr="00B46790">
        <w:rPr>
          <w:rFonts w:asciiTheme="majorHAnsi" w:eastAsia="Times New Roman" w:hAnsiTheme="majorHAnsi" w:cs="Arial"/>
          <w:b/>
          <w:bCs/>
        </w:rPr>
        <w:t xml:space="preserve"> molto elevati</w:t>
      </w:r>
      <w:r w:rsidRPr="00E96BC1">
        <w:rPr>
          <w:rFonts w:asciiTheme="majorHAnsi" w:eastAsia="Times New Roman" w:hAnsiTheme="majorHAnsi" w:cs="Arial"/>
        </w:rPr>
        <w:t xml:space="preserve">: il prezzo di gennaio </w:t>
      </w:r>
      <w:r w:rsidR="00C37CCA">
        <w:rPr>
          <w:rFonts w:asciiTheme="majorHAnsi" w:eastAsia="Times New Roman" w:hAnsiTheme="majorHAnsi" w:cs="Arial"/>
        </w:rPr>
        <w:t>2021</w:t>
      </w:r>
      <w:r w:rsidR="00A72CAF">
        <w:rPr>
          <w:rFonts w:asciiTheme="majorHAnsi" w:eastAsia="Times New Roman" w:hAnsiTheme="majorHAnsi" w:cs="Arial"/>
        </w:rPr>
        <w:t>,</w:t>
      </w:r>
      <w:r w:rsidR="00C37CCA">
        <w:rPr>
          <w:rFonts w:asciiTheme="majorHAnsi" w:eastAsia="Times New Roman" w:hAnsiTheme="majorHAnsi" w:cs="Arial"/>
        </w:rPr>
        <w:t xml:space="preserve"> </w:t>
      </w:r>
      <w:r w:rsidRPr="00E96BC1">
        <w:rPr>
          <w:rFonts w:asciiTheme="majorHAnsi" w:eastAsia="Times New Roman" w:hAnsiTheme="majorHAnsi" w:cs="Arial"/>
        </w:rPr>
        <w:t>infatti</w:t>
      </w:r>
      <w:r w:rsidR="00A72CAF">
        <w:rPr>
          <w:rFonts w:asciiTheme="majorHAnsi" w:eastAsia="Times New Roman" w:hAnsiTheme="majorHAnsi" w:cs="Arial"/>
        </w:rPr>
        <w:t>,</w:t>
      </w:r>
      <w:r w:rsidRPr="00E96BC1">
        <w:rPr>
          <w:rFonts w:asciiTheme="majorHAnsi" w:eastAsia="Times New Roman" w:hAnsiTheme="majorHAnsi" w:cs="Arial"/>
        </w:rPr>
        <w:t xml:space="preserve"> segna un aumento del 15,9% rispetto a un anno fa.</w:t>
      </w:r>
    </w:p>
    <w:p w14:paraId="54ACD506" w14:textId="057F39F4" w:rsidR="00E96BC1" w:rsidRPr="00E96BC1" w:rsidRDefault="00C37CCA" w:rsidP="00E96BC1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</w:rPr>
      </w:pPr>
      <w:r w:rsidRPr="00DD5060">
        <w:rPr>
          <w:rFonts w:asciiTheme="majorHAnsi" w:eastAsia="Times New Roman" w:hAnsiTheme="majorHAnsi" w:cs="Arial"/>
        </w:rPr>
        <w:t>E se</w:t>
      </w:r>
      <w:r w:rsidR="008F7DCD" w:rsidRPr="00DD5060">
        <w:rPr>
          <w:rFonts w:asciiTheme="majorHAnsi" w:eastAsia="Times New Roman" w:hAnsiTheme="majorHAnsi" w:cs="Arial"/>
        </w:rPr>
        <w:t xml:space="preserve"> </w:t>
      </w:r>
      <w:r w:rsidRPr="00DD5060">
        <w:rPr>
          <w:rFonts w:asciiTheme="majorHAnsi" w:eastAsia="Times New Roman" w:hAnsiTheme="majorHAnsi" w:cs="Arial"/>
        </w:rPr>
        <w:t>i prezzi</w:t>
      </w:r>
      <w:r>
        <w:rPr>
          <w:rFonts w:asciiTheme="majorHAnsi" w:eastAsia="Times New Roman" w:hAnsiTheme="majorHAnsi" w:cs="Arial"/>
        </w:rPr>
        <w:t xml:space="preserve"> aumentano, </w:t>
      </w:r>
      <w:r w:rsidRPr="00B46790">
        <w:rPr>
          <w:rFonts w:asciiTheme="majorHAnsi" w:eastAsia="Times New Roman" w:hAnsiTheme="majorHAnsi" w:cs="Arial"/>
          <w:b/>
          <w:bCs/>
        </w:rPr>
        <w:t>l</w:t>
      </w:r>
      <w:r w:rsidR="00E96BC1" w:rsidRPr="00B46790">
        <w:rPr>
          <w:rFonts w:asciiTheme="majorHAnsi" w:eastAsia="Times New Roman" w:hAnsiTheme="majorHAnsi" w:cs="Arial"/>
          <w:b/>
          <w:bCs/>
        </w:rPr>
        <w:t>'offerta rimane ai minimi storici.</w:t>
      </w:r>
      <w:r w:rsidR="00E96BC1" w:rsidRPr="00E96BC1">
        <w:rPr>
          <w:rFonts w:asciiTheme="majorHAnsi" w:eastAsia="Times New Roman" w:hAnsiTheme="majorHAnsi" w:cs="Arial"/>
        </w:rPr>
        <w:t xml:space="preserve"> Novembre, dicembre e gennaio si sono rincorsi per segnare ogni volta un nuovo minimo storico (in termini unitari) dell'offerta negli ultimi cinque anni. A gennaio di quest'anno, l'andamento di vendita media mensile ha uguagliato il minimo storico di 1,2 mesi raggiunto nel maggio 2021. Un anno fa, l'andamento di vendita media mensile era pari a 1,9.</w:t>
      </w:r>
    </w:p>
    <w:bookmarkEnd w:id="0"/>
    <w:p w14:paraId="05752751" w14:textId="1D844E00" w:rsidR="00E96BC1" w:rsidRPr="00E96BC1" w:rsidRDefault="008070AF" w:rsidP="00E96BC1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</w:rPr>
      </w:pPr>
      <w:r w:rsidRPr="00F63B60">
        <w:rPr>
          <w:noProof/>
        </w:rPr>
        <w:drawing>
          <wp:anchor distT="0" distB="0" distL="114300" distR="114300" simplePos="0" relativeHeight="251659264" behindDoc="1" locked="0" layoutInCell="1" allowOverlap="1" wp14:anchorId="6E32AADC" wp14:editId="76763C01">
            <wp:simplePos x="0" y="0"/>
            <wp:positionH relativeFrom="margin">
              <wp:align>left</wp:align>
            </wp:positionH>
            <wp:positionV relativeFrom="paragraph">
              <wp:posOffset>142793</wp:posOffset>
            </wp:positionV>
            <wp:extent cx="1430655" cy="1780540"/>
            <wp:effectExtent l="0" t="0" r="0" b="0"/>
            <wp:wrapTight wrapText="bothSides">
              <wp:wrapPolygon edited="0">
                <wp:start x="0" y="0"/>
                <wp:lineTo x="0" y="21261"/>
                <wp:lineTo x="21284" y="21261"/>
                <wp:lineTo x="21284" y="0"/>
                <wp:lineTo x="0" y="0"/>
              </wp:wrapPolygon>
            </wp:wrapTight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017" cy="1789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BC1" w:rsidRPr="00E96BC1">
        <w:rPr>
          <w:rFonts w:asciiTheme="majorHAnsi" w:eastAsia="Times New Roman" w:hAnsiTheme="majorHAnsi" w:cs="Arial"/>
        </w:rPr>
        <w:t>"</w:t>
      </w:r>
      <w:r w:rsidR="00E96BC1" w:rsidRPr="00E96BC1">
        <w:rPr>
          <w:rFonts w:asciiTheme="majorHAnsi" w:eastAsia="Times New Roman" w:hAnsiTheme="majorHAnsi" w:cs="Arial"/>
          <w:i/>
          <w:iCs/>
        </w:rPr>
        <w:t>I venditori continuano a godere di condizioni favorevoli</w:t>
      </w:r>
      <w:r w:rsidR="00C37CCA">
        <w:rPr>
          <w:rFonts w:asciiTheme="majorHAnsi" w:eastAsia="Times New Roman" w:hAnsiTheme="majorHAnsi" w:cs="Arial"/>
          <w:i/>
          <w:iCs/>
        </w:rPr>
        <w:t>, anche se,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 a seguito del rallentamento dell'attività </w:t>
      </w:r>
      <w:r w:rsidR="00C37CCA">
        <w:rPr>
          <w:rFonts w:asciiTheme="majorHAnsi" w:eastAsia="Times New Roman" w:hAnsiTheme="majorHAnsi" w:cs="Arial"/>
          <w:i/>
          <w:iCs/>
        </w:rPr>
        <w:t xml:space="preserve">registrato 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a gennaio, in anticipo sull'alta stagione di vendita primaverile, </w:t>
      </w:r>
      <w:r w:rsidR="00C37CCA">
        <w:rPr>
          <w:rFonts w:asciiTheme="majorHAnsi" w:eastAsia="Times New Roman" w:hAnsiTheme="majorHAnsi" w:cs="Arial"/>
          <w:i/>
          <w:iCs/>
        </w:rPr>
        <w:t xml:space="preserve">si rileva 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anche </w:t>
      </w:r>
      <w:r w:rsidR="00C37CCA">
        <w:rPr>
          <w:rFonts w:asciiTheme="majorHAnsi" w:eastAsia="Times New Roman" w:hAnsiTheme="majorHAnsi" w:cs="Arial"/>
          <w:i/>
          <w:iCs/>
        </w:rPr>
        <w:t>una decelerazione della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 corsa dei prezzi</w:t>
      </w:r>
      <w:r w:rsidR="00E96BC1" w:rsidRPr="00E96BC1">
        <w:rPr>
          <w:rFonts w:asciiTheme="majorHAnsi" w:eastAsia="Times New Roman" w:hAnsiTheme="majorHAnsi" w:cs="Arial"/>
        </w:rPr>
        <w:t xml:space="preserve">", ha dichiarato </w:t>
      </w:r>
      <w:r w:rsidR="00E96BC1" w:rsidRPr="00C16DB5">
        <w:rPr>
          <w:rFonts w:asciiTheme="majorHAnsi" w:eastAsia="Times New Roman" w:hAnsiTheme="majorHAnsi" w:cs="Arial"/>
          <w:b/>
          <w:bCs/>
        </w:rPr>
        <w:t xml:space="preserve">Nick Bailey, </w:t>
      </w:r>
      <w:proofErr w:type="spellStart"/>
      <w:r w:rsidR="00E96BC1" w:rsidRPr="00C16DB5">
        <w:rPr>
          <w:rFonts w:asciiTheme="majorHAnsi" w:eastAsia="Times New Roman" w:hAnsiTheme="majorHAnsi" w:cs="Arial"/>
          <w:b/>
          <w:bCs/>
        </w:rPr>
        <w:t>President</w:t>
      </w:r>
      <w:proofErr w:type="spellEnd"/>
      <w:r w:rsidR="00E96BC1" w:rsidRPr="00C16DB5">
        <w:rPr>
          <w:rFonts w:asciiTheme="majorHAnsi" w:eastAsia="Times New Roman" w:hAnsiTheme="majorHAnsi" w:cs="Arial"/>
          <w:b/>
          <w:bCs/>
        </w:rPr>
        <w:t xml:space="preserve"> e CEO, RE/MAX, LLC</w:t>
      </w:r>
      <w:r w:rsidR="00E96BC1" w:rsidRPr="00E96BC1">
        <w:rPr>
          <w:rFonts w:asciiTheme="majorHAnsi" w:eastAsia="Times New Roman" w:hAnsiTheme="majorHAnsi" w:cs="Arial"/>
        </w:rPr>
        <w:t>. "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I tassi </w:t>
      </w:r>
      <w:r w:rsidR="00C37CCA">
        <w:rPr>
          <w:rFonts w:asciiTheme="majorHAnsi" w:eastAsia="Times New Roman" w:hAnsiTheme="majorHAnsi" w:cs="Arial"/>
          <w:i/>
          <w:iCs/>
        </w:rPr>
        <w:t xml:space="preserve">dei mutui </w:t>
      </w:r>
      <w:r w:rsidR="00E96BC1" w:rsidRPr="00E96BC1">
        <w:rPr>
          <w:rFonts w:asciiTheme="majorHAnsi" w:eastAsia="Times New Roman" w:hAnsiTheme="majorHAnsi" w:cs="Arial"/>
          <w:i/>
          <w:iCs/>
        </w:rPr>
        <w:t xml:space="preserve">stanno pian piano cominciando a salire, cosa che potrebbe di fatto accelerare le vendite, tanto che acquirenti e venditori stanno correndo ai ripari nel tentativo di anticipare ulteriori rialzi. La stabilizzazione dei prezzi negli ultimi mesi </w:t>
      </w:r>
      <w:r w:rsidR="00C37CCA">
        <w:rPr>
          <w:rFonts w:asciiTheme="majorHAnsi" w:eastAsia="Times New Roman" w:hAnsiTheme="majorHAnsi" w:cs="Arial"/>
          <w:i/>
          <w:iCs/>
        </w:rPr>
        <w:t xml:space="preserve">sta contrastando le maggiori difficoltà di accesso al credito. Da ciò </w:t>
      </w:r>
      <w:r w:rsidR="00E96BC1" w:rsidRPr="00B46790">
        <w:rPr>
          <w:rFonts w:asciiTheme="majorHAnsi" w:eastAsia="Times New Roman" w:hAnsiTheme="majorHAnsi" w:cs="Arial"/>
          <w:b/>
          <w:bCs/>
          <w:i/>
          <w:iCs/>
        </w:rPr>
        <w:t xml:space="preserve">prevediamo una </w:t>
      </w:r>
      <w:r w:rsidR="00C37CCA" w:rsidRPr="00B46790">
        <w:rPr>
          <w:rFonts w:asciiTheme="majorHAnsi" w:eastAsia="Times New Roman" w:hAnsiTheme="majorHAnsi" w:cs="Arial"/>
          <w:b/>
          <w:bCs/>
          <w:i/>
          <w:iCs/>
        </w:rPr>
        <w:t>primavera vivace in termini di v</w:t>
      </w:r>
      <w:r w:rsidR="00E96BC1" w:rsidRPr="00B46790">
        <w:rPr>
          <w:rFonts w:asciiTheme="majorHAnsi" w:eastAsia="Times New Roman" w:hAnsiTheme="majorHAnsi" w:cs="Arial"/>
          <w:b/>
          <w:bCs/>
          <w:i/>
          <w:iCs/>
        </w:rPr>
        <w:t>endite</w:t>
      </w:r>
      <w:r w:rsidR="00AD02B9" w:rsidRPr="00B46790">
        <w:rPr>
          <w:rFonts w:asciiTheme="majorHAnsi" w:eastAsia="Times New Roman" w:hAnsiTheme="majorHAnsi" w:cs="Arial"/>
          <w:b/>
          <w:bCs/>
          <w:i/>
          <w:iCs/>
        </w:rPr>
        <w:t xml:space="preserve">, </w:t>
      </w:r>
      <w:r w:rsidR="00C37CCA" w:rsidRPr="00B46790">
        <w:rPr>
          <w:rFonts w:asciiTheme="majorHAnsi" w:eastAsia="Times New Roman" w:hAnsiTheme="majorHAnsi" w:cs="Arial"/>
          <w:b/>
          <w:bCs/>
          <w:i/>
          <w:iCs/>
        </w:rPr>
        <w:t xml:space="preserve">alimentata </w:t>
      </w:r>
      <w:r w:rsidR="00E96BC1" w:rsidRPr="00B46790">
        <w:rPr>
          <w:rFonts w:asciiTheme="majorHAnsi" w:eastAsia="Times New Roman" w:hAnsiTheme="majorHAnsi" w:cs="Arial"/>
          <w:b/>
          <w:bCs/>
          <w:i/>
          <w:iCs/>
        </w:rPr>
        <w:t>dalla continua domanda</w:t>
      </w:r>
      <w:r w:rsidR="00E96BC1" w:rsidRPr="00E96BC1">
        <w:rPr>
          <w:rFonts w:asciiTheme="majorHAnsi" w:eastAsia="Times New Roman" w:hAnsiTheme="majorHAnsi" w:cs="Arial"/>
        </w:rPr>
        <w:t>"</w:t>
      </w:r>
      <w:r w:rsidR="00C37CCA">
        <w:rPr>
          <w:rFonts w:asciiTheme="majorHAnsi" w:eastAsia="Times New Roman" w:hAnsiTheme="majorHAnsi" w:cs="Arial"/>
        </w:rPr>
        <w:t>.</w:t>
      </w:r>
    </w:p>
    <w:p w14:paraId="7A72039F" w14:textId="62B06658" w:rsidR="00E96BC1" w:rsidRPr="00E96BC1" w:rsidRDefault="00E96BC1" w:rsidP="00E96BC1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 xml:space="preserve">A gennaio, le case hanno avuto una permanenza media di 34 giorni sul mercato – due in più </w:t>
      </w:r>
      <w:r w:rsidR="00C37CCA">
        <w:rPr>
          <w:rFonts w:asciiTheme="majorHAnsi" w:eastAsia="Times New Roman" w:hAnsiTheme="majorHAnsi" w:cs="Arial"/>
        </w:rPr>
        <w:t>rispetto a</w:t>
      </w:r>
      <w:r w:rsidR="00C37CCA" w:rsidRPr="00E96BC1">
        <w:rPr>
          <w:rFonts w:asciiTheme="majorHAnsi" w:eastAsia="Times New Roman" w:hAnsiTheme="majorHAnsi" w:cs="Arial"/>
        </w:rPr>
        <w:t xml:space="preserve"> </w:t>
      </w:r>
      <w:r w:rsidRPr="00E96BC1">
        <w:rPr>
          <w:rFonts w:asciiTheme="majorHAnsi" w:eastAsia="Times New Roman" w:hAnsiTheme="majorHAnsi" w:cs="Arial"/>
        </w:rPr>
        <w:t xml:space="preserve">dicembre, ma sette in meno </w:t>
      </w:r>
      <w:r w:rsidR="009556E9">
        <w:rPr>
          <w:rFonts w:asciiTheme="majorHAnsi" w:eastAsia="Times New Roman" w:hAnsiTheme="majorHAnsi" w:cs="Arial"/>
        </w:rPr>
        <w:t xml:space="preserve">se comparato a </w:t>
      </w:r>
      <w:r w:rsidRPr="00E96BC1">
        <w:rPr>
          <w:rFonts w:asciiTheme="majorHAnsi" w:eastAsia="Times New Roman" w:hAnsiTheme="majorHAnsi" w:cs="Arial"/>
        </w:rPr>
        <w:t>un anno fa.</w:t>
      </w:r>
    </w:p>
    <w:p w14:paraId="2141ED49" w14:textId="14CB26BE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>TRANSAZIONI CONCLUSE</w:t>
      </w:r>
    </w:p>
    <w:p w14:paraId="11520F3A" w14:textId="77777777" w:rsidR="00E96BC1" w:rsidRPr="00E96BC1" w:rsidRDefault="00E96BC1" w:rsidP="008070AF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>Nelle 51 aree metropolitane coinvolte nell’indagine condotta da RE/MAX a gennaio 2022, il numero medio degli immobili venduti è diminuito del 31,4% rispetto a dicembre 2021 e del 5,3% rispetto a gennaio 2021. I mercati con la più grande flessione percentuale nelle vendite anno su anno sono stati: San Francisco, CA con 24,2%, Manchester, NH con -18,0% e Seattle, WA con -17,5%. Le aree che hanno visto l’incremento maggiore sono state: Honolulu, HI con +25,7%, Boise, ID con +10,4 e Tulsa, OK con +5,8%.</w:t>
      </w:r>
    </w:p>
    <w:p w14:paraId="56002BF8" w14:textId="182C858B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lastRenderedPageBreak/>
        <w:t>PREZZO MEDIANO DI VENDITA</w:t>
      </w:r>
    </w:p>
    <w:p w14:paraId="16A4DD0E" w14:textId="24533BC6" w:rsidR="00E96BC1" w:rsidRPr="00E96BC1" w:rsidRDefault="00E96BC1" w:rsidP="008070AF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>A gennaio 2022, il prezzo mediano di vendita degli immobili nelle 51 aree metropolitane analizzate è stato di $335.000, immutato rispetto a dicembre 2021 e in aumento del 15,9% rispetto a gennaio 2021. Nessuna città ha registrato una diminuzione nel prezzo mediano di vendita rispetto allo stesso mese dell'anno precedente. Delle 51 città, 35 hanno visto un aumento anno su anno a doppia cifra percentuale, le più alte a: Phoenix, AZ con +28,5%, Raleigh-Durham, NC con +28,4% e Salt Lake City, UT con +26,7%.</w:t>
      </w:r>
    </w:p>
    <w:p w14:paraId="62638F4A" w14:textId="06237FEE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>GIORNI SUL MERCATO – MEDIA DELLE 5</w:t>
      </w:r>
      <w:r w:rsidR="007E55E0" w:rsidRPr="00F63B60">
        <w:rPr>
          <w:rFonts w:asciiTheme="majorHAnsi" w:eastAsia="Times New Roman" w:hAnsiTheme="majorHAnsi" w:cs="Arial"/>
          <w:b/>
          <w:bCs/>
          <w:color w:val="FF0000"/>
        </w:rPr>
        <w:t>1</w:t>
      </w:r>
      <w:r w:rsidRPr="00F63B60">
        <w:rPr>
          <w:rFonts w:asciiTheme="majorHAnsi" w:eastAsia="Times New Roman" w:hAnsiTheme="majorHAnsi" w:cs="Arial"/>
          <w:b/>
          <w:bCs/>
          <w:color w:val="FF0000"/>
        </w:rPr>
        <w:t xml:space="preserve"> CITTÀ ANALIZZATE</w:t>
      </w:r>
    </w:p>
    <w:p w14:paraId="739E7D69" w14:textId="77777777" w:rsidR="00E96BC1" w:rsidRPr="00E96BC1" w:rsidRDefault="00E96BC1" w:rsidP="008070AF">
      <w:pPr>
        <w:spacing w:after="0" w:line="276" w:lineRule="auto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 xml:space="preserve">A gennaio 2022 la media dei giorni sul mercato degli immobili venduti è stata di 34 – due giorni in più rispetto alla media del dicembre 2021 e sette giorni in meno rispetto a gennaio 2021. I mercati con la media di giorni più bassa sono stati: Nashville, TN con 16, Cincinnati, OH con 18 e, a pari merito con 20, Omaha, NE e Manchester, NH. I mercati che hanno registrato la media più alta sono stati </w:t>
      </w:r>
      <w:proofErr w:type="spellStart"/>
      <w:r w:rsidRPr="00E96BC1">
        <w:rPr>
          <w:rFonts w:asciiTheme="majorHAnsi" w:eastAsia="Times New Roman" w:hAnsiTheme="majorHAnsi" w:cs="Arial"/>
        </w:rPr>
        <w:t>Des</w:t>
      </w:r>
      <w:proofErr w:type="spellEnd"/>
      <w:r w:rsidRPr="00E96BC1">
        <w:rPr>
          <w:rFonts w:asciiTheme="majorHAnsi" w:eastAsia="Times New Roman" w:hAnsiTheme="majorHAnsi" w:cs="Arial"/>
        </w:rPr>
        <w:t xml:space="preserve"> </w:t>
      </w:r>
      <w:proofErr w:type="spellStart"/>
      <w:r w:rsidRPr="00E96BC1">
        <w:rPr>
          <w:rFonts w:asciiTheme="majorHAnsi" w:eastAsia="Times New Roman" w:hAnsiTheme="majorHAnsi" w:cs="Arial"/>
        </w:rPr>
        <w:t>Moines</w:t>
      </w:r>
      <w:proofErr w:type="spellEnd"/>
      <w:r w:rsidRPr="00E96BC1">
        <w:rPr>
          <w:rFonts w:asciiTheme="majorHAnsi" w:eastAsia="Times New Roman" w:hAnsiTheme="majorHAnsi" w:cs="Arial"/>
        </w:rPr>
        <w:t>, IA con 94, Miami, FL con 77 e Albuquerque, NM con 75 giorni sul mercato. I “giorni sul mercato” indicano il numero medio di giorni che intercorrono dalla presa dell’incarico alla firma del contratto.</w:t>
      </w:r>
    </w:p>
    <w:p w14:paraId="6C96C1E8" w14:textId="125A9A7B" w:rsidR="006D051A" w:rsidRPr="00F63B60" w:rsidRDefault="006D051A" w:rsidP="006D051A">
      <w:pPr>
        <w:spacing w:before="100" w:beforeAutospacing="1" w:after="0" w:line="276" w:lineRule="auto"/>
        <w:jc w:val="both"/>
        <w:rPr>
          <w:rFonts w:asciiTheme="majorHAnsi" w:eastAsia="Times New Roman" w:hAnsiTheme="majorHAnsi" w:cs="Arial"/>
          <w:b/>
          <w:bCs/>
          <w:color w:val="FF0000"/>
        </w:rPr>
      </w:pPr>
      <w:r w:rsidRPr="00F63B60">
        <w:rPr>
          <w:rFonts w:asciiTheme="majorHAnsi" w:eastAsia="Times New Roman" w:hAnsiTheme="majorHAnsi" w:cs="Arial"/>
          <w:b/>
          <w:bCs/>
          <w:color w:val="FF0000"/>
        </w:rPr>
        <w:t>ANDAMENTO DI VENDITA MEDIA MENSILE</w:t>
      </w:r>
    </w:p>
    <w:p w14:paraId="3061CD8F" w14:textId="77777777" w:rsidR="00E96BC1" w:rsidRPr="00E96BC1" w:rsidRDefault="00E96BC1" w:rsidP="00DD5060">
      <w:pPr>
        <w:spacing w:after="0"/>
        <w:jc w:val="both"/>
        <w:rPr>
          <w:rFonts w:asciiTheme="majorHAnsi" w:eastAsia="Times New Roman" w:hAnsiTheme="majorHAnsi" w:cs="Arial"/>
        </w:rPr>
      </w:pPr>
      <w:r w:rsidRPr="00E96BC1">
        <w:rPr>
          <w:rFonts w:asciiTheme="majorHAnsi" w:eastAsia="Times New Roman" w:hAnsiTheme="majorHAnsi" w:cs="Arial"/>
        </w:rPr>
        <w:t>Il numero degli immobili in vendita a gennaio 2022 è diminuito dell'11,9% rispetto a dicembre 2021 e del 32,1% rispetto a gennaio 2021. Basato sugli immobili venduti a gennaio 2022, l’andamento di vendita media mensile è sceso a 1,2 mesi dai 1,4 di dicembre 2021 ed è diminuito rispetto ai 1,9 di gennaio 2021. Una media di vendita a 6,0 mesi rappresenta un mercato in equilibrio tra acquirenti e venditori. A gennaio 2022, delle 51 aree analizzate, nessuna città ha registrato una media maggiore di 6 mesi, tipicamente considerata indicativa di un mercato del compratore. I mercati con la più bassa offerta sono stati Denver, CO con 0,4 e tre a pari merito: Charlotte, NC, Seattle, WA, e Raleigh-Durham, NC con 0,5.</w:t>
      </w:r>
    </w:p>
    <w:p w14:paraId="7A0AE88A" w14:textId="77777777" w:rsidR="00F63B60" w:rsidRDefault="00F63B60" w:rsidP="00DD5060">
      <w:pPr>
        <w:spacing w:before="100" w:beforeAutospacing="1" w:after="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4DA69D6" w14:textId="7E861CC7" w:rsidR="005F0775" w:rsidRPr="00F63B60" w:rsidRDefault="00A01A35" w:rsidP="00F63B60">
      <w:pPr>
        <w:spacing w:before="100" w:beforeAutospacing="1" w:after="0"/>
        <w:rPr>
          <w:rFonts w:asciiTheme="majorHAnsi" w:hAnsiTheme="majorHAnsi"/>
          <w:sz w:val="20"/>
          <w:szCs w:val="20"/>
        </w:rPr>
      </w:pPr>
      <w:r w:rsidRPr="00F63B60">
        <w:rPr>
          <w:rFonts w:asciiTheme="majorHAnsi" w:hAnsiTheme="majorHAnsi"/>
          <w:b/>
          <w:bCs/>
          <w:sz w:val="20"/>
          <w:szCs w:val="20"/>
        </w:rPr>
        <w:t xml:space="preserve">COMPANY PROFILE </w:t>
      </w:r>
      <w:r w:rsidR="005F0775" w:rsidRPr="00F63B60">
        <w:rPr>
          <w:rFonts w:asciiTheme="majorHAnsi" w:hAnsiTheme="majorHAnsi"/>
          <w:b/>
          <w:bCs/>
          <w:sz w:val="20"/>
          <w:szCs w:val="20"/>
        </w:rPr>
        <w:t>RE/MAX LLC</w:t>
      </w:r>
    </w:p>
    <w:p w14:paraId="51A6FF19" w14:textId="6278C829" w:rsidR="0027115D" w:rsidRPr="00F63B60" w:rsidRDefault="0027115D" w:rsidP="00F63B60">
      <w:pPr>
        <w:shd w:val="clear" w:color="auto" w:fill="FFFFFF"/>
        <w:spacing w:after="240" w:line="276" w:lineRule="auto"/>
        <w:jc w:val="both"/>
        <w:rPr>
          <w:rFonts w:asciiTheme="majorHAnsi" w:hAnsiTheme="majorHAnsi"/>
          <w:sz w:val="20"/>
          <w:szCs w:val="20"/>
        </w:rPr>
      </w:pPr>
      <w:r w:rsidRPr="00F63B60">
        <w:rPr>
          <w:rFonts w:asciiTheme="majorHAnsi" w:hAnsiTheme="majorHAnsi"/>
          <w:sz w:val="20"/>
          <w:szCs w:val="20"/>
        </w:rPr>
        <w:t>RE/MAX, LLC, filiale di RE/MAX Holdings (</w:t>
      </w:r>
      <w:proofErr w:type="gramStart"/>
      <w:r w:rsidRPr="00F63B60">
        <w:rPr>
          <w:rFonts w:asciiTheme="majorHAnsi" w:hAnsiTheme="majorHAnsi"/>
          <w:sz w:val="20"/>
          <w:szCs w:val="20"/>
        </w:rPr>
        <w:t>NYSE:RMAX</w:t>
      </w:r>
      <w:proofErr w:type="gramEnd"/>
      <w:r w:rsidRPr="00F63B60">
        <w:rPr>
          <w:rFonts w:asciiTheme="majorHAnsi" w:hAnsiTheme="majorHAnsi"/>
          <w:sz w:val="20"/>
          <w:szCs w:val="20"/>
        </w:rPr>
        <w:t xml:space="preserve">) è uno dei principali franchisor immobiliari a livello globale con quasi 140.000 agenti affiliati in più di 110 paesi al mondo. Nessuno al mondo vende più immobili di RE/MAX®, come emerge dal calcolo delle transazioni residenziali. RE/MAX è stata fondata nel 1973 da </w:t>
      </w:r>
      <w:proofErr w:type="spellStart"/>
      <w:r w:rsidRPr="00F63B60">
        <w:rPr>
          <w:rFonts w:asciiTheme="majorHAnsi" w:hAnsiTheme="majorHAnsi"/>
          <w:sz w:val="20"/>
          <w:szCs w:val="20"/>
        </w:rPr>
        <w:t>Dave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e </w:t>
      </w:r>
      <w:proofErr w:type="spellStart"/>
      <w:r w:rsidRPr="00F63B60">
        <w:rPr>
          <w:rFonts w:asciiTheme="majorHAnsi" w:hAnsiTheme="majorHAnsi"/>
          <w:sz w:val="20"/>
          <w:szCs w:val="20"/>
        </w:rPr>
        <w:t>Gail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3B60">
        <w:rPr>
          <w:rFonts w:asciiTheme="majorHAnsi" w:hAnsiTheme="majorHAnsi"/>
          <w:sz w:val="20"/>
          <w:szCs w:val="20"/>
        </w:rPr>
        <w:t>Liniger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, con una cultura innovativa e imprenditoriale che offre ai suoi agenti e franchisee la flessibilità di gestire i loro affari con grande indipendenza. Gli agenti RE/MAX hanno vissuto, lavorato e operato nelle loro comunità locali per decenni, raccogliendo milioni di dollari ogni anno per i </w:t>
      </w:r>
      <w:proofErr w:type="spellStart"/>
      <w:r w:rsidRPr="00F63B60">
        <w:rPr>
          <w:rFonts w:asciiTheme="majorHAnsi" w:hAnsiTheme="majorHAnsi"/>
          <w:sz w:val="20"/>
          <w:szCs w:val="20"/>
        </w:rPr>
        <w:t>Children's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3B60">
        <w:rPr>
          <w:rFonts w:asciiTheme="majorHAnsi" w:hAnsiTheme="majorHAnsi"/>
          <w:sz w:val="20"/>
          <w:szCs w:val="20"/>
        </w:rPr>
        <w:t>Miracle</w:t>
      </w:r>
      <w:proofErr w:type="spellEnd"/>
      <w:r w:rsidRPr="00F63B60">
        <w:rPr>
          <w:rFonts w:asciiTheme="majorHAnsi" w:hAnsiTheme="majorHAnsi"/>
          <w:sz w:val="20"/>
          <w:szCs w:val="20"/>
        </w:rPr>
        <w:t xml:space="preserve"> Network Hospitals® e altri enti di beneficenza. Per maggiori informazioni </w:t>
      </w:r>
      <w:r w:rsidR="00A01A35" w:rsidRPr="00F63B60">
        <w:rPr>
          <w:rFonts w:asciiTheme="majorHAnsi" w:hAnsiTheme="majorHAnsi"/>
          <w:sz w:val="20"/>
          <w:szCs w:val="20"/>
        </w:rPr>
        <w:t xml:space="preserve">su </w:t>
      </w:r>
      <w:r w:rsidRPr="00F63B60">
        <w:rPr>
          <w:rFonts w:asciiTheme="majorHAnsi" w:hAnsiTheme="majorHAnsi"/>
          <w:sz w:val="20"/>
          <w:szCs w:val="20"/>
        </w:rPr>
        <w:t xml:space="preserve">RE/MAX a livello globale, per cercare annunci di case o trovare un agente nella vostra comunità, visitate </w:t>
      </w:r>
      <w:hyperlink r:id="rId9" w:history="1">
        <w:r w:rsidRPr="00F63B60">
          <w:rPr>
            <w:rStyle w:val="Collegamentoipertestuale"/>
            <w:rFonts w:asciiTheme="majorHAnsi" w:hAnsiTheme="majorHAnsi"/>
            <w:sz w:val="20"/>
            <w:szCs w:val="20"/>
          </w:rPr>
          <w:t>www.remax.com</w:t>
        </w:r>
      </w:hyperlink>
      <w:r w:rsidRPr="00F63B60">
        <w:rPr>
          <w:rFonts w:asciiTheme="majorHAnsi" w:hAnsiTheme="majorHAnsi"/>
          <w:sz w:val="20"/>
          <w:szCs w:val="20"/>
        </w:rPr>
        <w:t xml:space="preserve">. Per le ultime notizie su RE/MAX, visitate </w:t>
      </w:r>
      <w:hyperlink r:id="rId10" w:history="1">
        <w:r w:rsidRPr="00F63B60">
          <w:rPr>
            <w:rStyle w:val="Collegamentoipertestuale"/>
            <w:rFonts w:asciiTheme="majorHAnsi" w:hAnsiTheme="majorHAnsi"/>
            <w:sz w:val="20"/>
            <w:szCs w:val="20"/>
          </w:rPr>
          <w:t>news.re</w:t>
        </w:r>
        <w:bookmarkStart w:id="1" w:name="_GoBack"/>
        <w:bookmarkEnd w:id="1"/>
        <w:r w:rsidRPr="00F63B60">
          <w:rPr>
            <w:rStyle w:val="Collegamentoipertestuale"/>
            <w:rFonts w:asciiTheme="majorHAnsi" w:hAnsiTheme="majorHAnsi"/>
            <w:sz w:val="20"/>
            <w:szCs w:val="20"/>
          </w:rPr>
          <w:t>max.com</w:t>
        </w:r>
      </w:hyperlink>
      <w:r w:rsidRPr="00F63B60">
        <w:rPr>
          <w:rFonts w:asciiTheme="majorHAnsi" w:hAnsiTheme="majorHAnsi"/>
          <w:sz w:val="20"/>
          <w:szCs w:val="20"/>
        </w:rPr>
        <w:t>.</w:t>
      </w:r>
    </w:p>
    <w:p w14:paraId="68FF025A" w14:textId="77777777" w:rsidR="003F25B9" w:rsidRPr="00F63B60" w:rsidRDefault="003F25B9" w:rsidP="003F25B9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  <w:r w:rsidRPr="00F63B60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Pinkommunication srl - Ufficio stampa RE/MAX Italia </w:t>
      </w:r>
    </w:p>
    <w:p w14:paraId="1A0A12EF" w14:textId="77777777" w:rsidR="003F25B9" w:rsidRPr="00F63B60" w:rsidRDefault="003F25B9" w:rsidP="003F25B9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F63B60">
        <w:rPr>
          <w:rFonts w:asciiTheme="majorHAnsi" w:hAnsiTheme="majorHAnsi" w:cs="Calibri Light"/>
          <w:color w:val="000000"/>
          <w:sz w:val="20"/>
          <w:szCs w:val="20"/>
        </w:rPr>
        <w:t xml:space="preserve">Cristina Cortellezzi – Laura Premoli – Claudia Valerani </w:t>
      </w:r>
    </w:p>
    <w:p w14:paraId="0F85254E" w14:textId="77777777" w:rsidR="003F25B9" w:rsidRPr="00F63B60" w:rsidRDefault="00B46790" w:rsidP="003F25B9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hyperlink r:id="rId11" w:history="1">
        <w:r w:rsidR="003F25B9" w:rsidRPr="00F63B60">
          <w:rPr>
            <w:rFonts w:asciiTheme="majorHAnsi" w:hAnsiTheme="majorHAnsi" w:cs="Calibri Light"/>
            <w:color w:val="000000"/>
            <w:sz w:val="20"/>
            <w:szCs w:val="20"/>
          </w:rPr>
          <w:t>info@pinkommunication.it</w:t>
        </w:r>
      </w:hyperlink>
      <w:r w:rsidR="003F25B9" w:rsidRPr="00F63B60">
        <w:rPr>
          <w:rFonts w:asciiTheme="majorHAnsi" w:hAnsiTheme="majorHAnsi" w:cs="Calibri Light"/>
          <w:color w:val="000000"/>
          <w:sz w:val="20"/>
          <w:szCs w:val="20"/>
        </w:rPr>
        <w:t xml:space="preserve"> </w:t>
      </w:r>
    </w:p>
    <w:p w14:paraId="01F4E9F2" w14:textId="77777777" w:rsidR="003F25B9" w:rsidRPr="00F63B60" w:rsidRDefault="003F25B9" w:rsidP="00372197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F63B60">
        <w:rPr>
          <w:rFonts w:asciiTheme="majorHAnsi" w:hAnsiTheme="majorHAnsi" w:cs="Calibri Light"/>
          <w:color w:val="000000"/>
          <w:sz w:val="20"/>
          <w:szCs w:val="20"/>
        </w:rPr>
        <w:t>T. 02 89077160 – M. 340 1044227</w:t>
      </w:r>
    </w:p>
    <w:sectPr w:rsidR="003F25B9" w:rsidRPr="00F63B60" w:rsidSect="003F25B9">
      <w:headerReference w:type="default" r:id="rId12"/>
      <w:pgSz w:w="11906" w:h="16838"/>
      <w:pgMar w:top="21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F5A7D" w14:textId="77777777" w:rsidR="003F25B9" w:rsidRDefault="003F25B9" w:rsidP="003F25B9">
      <w:pPr>
        <w:spacing w:after="0" w:line="240" w:lineRule="auto"/>
      </w:pPr>
      <w:r>
        <w:separator/>
      </w:r>
    </w:p>
  </w:endnote>
  <w:endnote w:type="continuationSeparator" w:id="0">
    <w:p w14:paraId="67098B21" w14:textId="77777777" w:rsidR="003F25B9" w:rsidRDefault="003F25B9" w:rsidP="003F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66C36" w14:textId="77777777" w:rsidR="003F25B9" w:rsidRDefault="003F25B9" w:rsidP="003F25B9">
      <w:pPr>
        <w:spacing w:after="0" w:line="240" w:lineRule="auto"/>
      </w:pPr>
      <w:r>
        <w:separator/>
      </w:r>
    </w:p>
  </w:footnote>
  <w:footnote w:type="continuationSeparator" w:id="0">
    <w:p w14:paraId="2CC32FBE" w14:textId="77777777" w:rsidR="003F25B9" w:rsidRDefault="003F25B9" w:rsidP="003F2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FE9B0" w14:textId="77777777" w:rsidR="003F25B9" w:rsidRDefault="003F25B9">
    <w:pPr>
      <w:pStyle w:val="Intestazione"/>
    </w:pPr>
    <w:r w:rsidRPr="00212D33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709C91" wp14:editId="30332B63">
          <wp:simplePos x="0" y="0"/>
          <wp:positionH relativeFrom="column">
            <wp:posOffset>-200025</wp:posOffset>
          </wp:positionH>
          <wp:positionV relativeFrom="page">
            <wp:posOffset>410845</wp:posOffset>
          </wp:positionV>
          <wp:extent cx="546735" cy="692150"/>
          <wp:effectExtent l="19050" t="0" r="5715" b="0"/>
          <wp:wrapNone/>
          <wp:docPr id="25" name="Immagine 25">
            <a:extLst xmlns:a="http://schemas.openxmlformats.org/drawingml/2006/main">
              <a:ext uri="{FF2B5EF4-FFF2-40B4-BE49-F238E27FC236}">
                <a16:creationId xmlns:a16="http://schemas.microsoft.com/office/drawing/2014/main" id="{FDD0CBBE-5AB1-42B2-B55D-937B434D92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FDD0CBBE-5AB1-42B2-B55D-937B434D92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735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24CCCA" w14:textId="77777777" w:rsidR="003F25B9" w:rsidRDefault="003F25B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43E19" wp14:editId="419F0359">
              <wp:simplePos x="0" y="0"/>
              <wp:positionH relativeFrom="column">
                <wp:posOffset>403860</wp:posOffset>
              </wp:positionH>
              <wp:positionV relativeFrom="paragraph">
                <wp:posOffset>10160</wp:posOffset>
              </wp:positionV>
              <wp:extent cx="6033135" cy="427990"/>
              <wp:effectExtent l="0" t="0" r="24765" b="10160"/>
              <wp:wrapSquare wrapText="bothSides"/>
              <wp:docPr id="19" name="Rettango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33135" cy="427990"/>
                      </a:xfrm>
                      <a:prstGeom prst="rect">
                        <a:avLst/>
                      </a:prstGeom>
                      <a:solidFill>
                        <a:srgbClr val="DC1C2E"/>
                      </a:solidFill>
                      <a:ln>
                        <a:solidFill>
                          <a:srgbClr val="DC1C2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504500" w14:textId="7C232F8F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  <w:r w:rsidRPr="000378C0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National Housing Report – </w:t>
                          </w:r>
                          <w:r w:rsidR="00E96BC1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>febbr</w:t>
                          </w:r>
                          <w:r w:rsidR="008070AF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>ai</w:t>
                          </w:r>
                          <w:r w:rsidR="00E96BC1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>o</w:t>
                          </w:r>
                          <w:r w:rsidR="00762458"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 2022</w:t>
                          </w:r>
                          <w:r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7E73D867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3D41EB98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24F7E995" w14:textId="77777777" w:rsidR="003F25B9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 w:cstheme="minorBidi"/>
                              <w:b/>
                              <w:color w:val="FFFFFF" w:themeColor="ligh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  <w:p w14:paraId="55C8B7EB" w14:textId="77777777" w:rsidR="003F25B9" w:rsidRPr="000378C0" w:rsidRDefault="003F25B9" w:rsidP="003F25B9">
                          <w:pPr>
                            <w:pStyle w:val="Normale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b/>
                            </w:rPr>
                          </w:pP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143E19" id="Rettangolo 19" o:spid="_x0000_s1026" style="position:absolute;margin-left:31.8pt;margin-top:.8pt;width:475.0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" fillcolor="#dc1c2e" strokecolor="#dc1c2e" strokeweight="1pt">
              <v:path arrowok="t"/>
              <v:textbox>
                <w:txbxContent>
                  <w:p w14:paraId="0C504500" w14:textId="7C232F8F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  <w:r w:rsidRPr="000378C0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National Housing Report – </w:t>
                    </w:r>
                    <w:r w:rsidR="00E96BC1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>febbr</w:t>
                    </w:r>
                    <w:r w:rsidR="008070AF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>ai</w:t>
                    </w:r>
                    <w:r w:rsidR="00E96BC1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>o</w:t>
                    </w:r>
                    <w:r w:rsidR="00762458"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 2022</w:t>
                    </w:r>
                    <w:r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  <w:t xml:space="preserve"> </w:t>
                    </w:r>
                  </w:p>
                  <w:p w14:paraId="7E73D867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3D41EB98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24F7E995" w14:textId="77777777" w:rsidR="003F25B9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Bidi"/>
                        <w:b/>
                        <w:color w:val="FFFFFF" w:themeColor="light1"/>
                        <w:kern w:val="24"/>
                        <w:sz w:val="32"/>
                        <w:szCs w:val="32"/>
                      </w:rPr>
                    </w:pPr>
                  </w:p>
                  <w:p w14:paraId="55C8B7EB" w14:textId="77777777" w:rsidR="003F25B9" w:rsidRPr="000378C0" w:rsidRDefault="003F25B9" w:rsidP="003F25B9">
                    <w:pPr>
                      <w:pStyle w:val="Normale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b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720F7"/>
    <w:multiLevelType w:val="hybridMultilevel"/>
    <w:tmpl w:val="11706AEA"/>
    <w:lvl w:ilvl="0" w:tplc="E0D6F6B4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0E"/>
    <w:rsid w:val="000269CF"/>
    <w:rsid w:val="00046FA6"/>
    <w:rsid w:val="00052DE2"/>
    <w:rsid w:val="000541FA"/>
    <w:rsid w:val="000717FD"/>
    <w:rsid w:val="000739A0"/>
    <w:rsid w:val="00106F74"/>
    <w:rsid w:val="00107206"/>
    <w:rsid w:val="0012551A"/>
    <w:rsid w:val="001734E7"/>
    <w:rsid w:val="001C701C"/>
    <w:rsid w:val="001E2FDA"/>
    <w:rsid w:val="001E348D"/>
    <w:rsid w:val="001E6BB3"/>
    <w:rsid w:val="002016BC"/>
    <w:rsid w:val="00206506"/>
    <w:rsid w:val="00237842"/>
    <w:rsid w:val="00257633"/>
    <w:rsid w:val="0027115D"/>
    <w:rsid w:val="002A331B"/>
    <w:rsid w:val="002D091B"/>
    <w:rsid w:val="002D1530"/>
    <w:rsid w:val="002D2EE0"/>
    <w:rsid w:val="0030213C"/>
    <w:rsid w:val="00372197"/>
    <w:rsid w:val="00374B01"/>
    <w:rsid w:val="00375B0A"/>
    <w:rsid w:val="003801A2"/>
    <w:rsid w:val="00381B57"/>
    <w:rsid w:val="00391377"/>
    <w:rsid w:val="00396832"/>
    <w:rsid w:val="003B2DE4"/>
    <w:rsid w:val="003C0595"/>
    <w:rsid w:val="003C1B6D"/>
    <w:rsid w:val="003D6CA1"/>
    <w:rsid w:val="003E6BB9"/>
    <w:rsid w:val="003F1639"/>
    <w:rsid w:val="003F25B9"/>
    <w:rsid w:val="004178B9"/>
    <w:rsid w:val="00440530"/>
    <w:rsid w:val="00440A69"/>
    <w:rsid w:val="00451B83"/>
    <w:rsid w:val="0046234E"/>
    <w:rsid w:val="0048432E"/>
    <w:rsid w:val="004A5C6C"/>
    <w:rsid w:val="004B35AA"/>
    <w:rsid w:val="004D01E2"/>
    <w:rsid w:val="004E0D4B"/>
    <w:rsid w:val="00502C14"/>
    <w:rsid w:val="00540C97"/>
    <w:rsid w:val="00562883"/>
    <w:rsid w:val="005F0775"/>
    <w:rsid w:val="00615AD1"/>
    <w:rsid w:val="00616376"/>
    <w:rsid w:val="0061793E"/>
    <w:rsid w:val="006426D9"/>
    <w:rsid w:val="006434ED"/>
    <w:rsid w:val="0064457A"/>
    <w:rsid w:val="006945C2"/>
    <w:rsid w:val="006A7ED9"/>
    <w:rsid w:val="006C53E0"/>
    <w:rsid w:val="006D051A"/>
    <w:rsid w:val="006D39F5"/>
    <w:rsid w:val="006E1D0B"/>
    <w:rsid w:val="006E6C75"/>
    <w:rsid w:val="00727EEC"/>
    <w:rsid w:val="007337A0"/>
    <w:rsid w:val="00743311"/>
    <w:rsid w:val="00747825"/>
    <w:rsid w:val="007573DF"/>
    <w:rsid w:val="00762458"/>
    <w:rsid w:val="007C40CC"/>
    <w:rsid w:val="007C4866"/>
    <w:rsid w:val="007E55E0"/>
    <w:rsid w:val="007F2F02"/>
    <w:rsid w:val="008070AF"/>
    <w:rsid w:val="00810B07"/>
    <w:rsid w:val="008459AE"/>
    <w:rsid w:val="00853D21"/>
    <w:rsid w:val="00881D11"/>
    <w:rsid w:val="0088225E"/>
    <w:rsid w:val="00895570"/>
    <w:rsid w:val="008A5634"/>
    <w:rsid w:val="008D2028"/>
    <w:rsid w:val="008F4E03"/>
    <w:rsid w:val="008F7DCD"/>
    <w:rsid w:val="00903240"/>
    <w:rsid w:val="00931179"/>
    <w:rsid w:val="0094359D"/>
    <w:rsid w:val="009556E9"/>
    <w:rsid w:val="00956D4F"/>
    <w:rsid w:val="009758D4"/>
    <w:rsid w:val="00977954"/>
    <w:rsid w:val="0099273E"/>
    <w:rsid w:val="009C4182"/>
    <w:rsid w:val="009F3401"/>
    <w:rsid w:val="00A01A02"/>
    <w:rsid w:val="00A01A35"/>
    <w:rsid w:val="00A40979"/>
    <w:rsid w:val="00A72CAF"/>
    <w:rsid w:val="00A8233B"/>
    <w:rsid w:val="00A87130"/>
    <w:rsid w:val="00AB601F"/>
    <w:rsid w:val="00AD02B9"/>
    <w:rsid w:val="00AD5B88"/>
    <w:rsid w:val="00B052CF"/>
    <w:rsid w:val="00B142B0"/>
    <w:rsid w:val="00B3285F"/>
    <w:rsid w:val="00B3680E"/>
    <w:rsid w:val="00B379C2"/>
    <w:rsid w:val="00B46790"/>
    <w:rsid w:val="00B478A2"/>
    <w:rsid w:val="00BE4B7F"/>
    <w:rsid w:val="00BF5D71"/>
    <w:rsid w:val="00BF725D"/>
    <w:rsid w:val="00C16DB5"/>
    <w:rsid w:val="00C351F1"/>
    <w:rsid w:val="00C37CCA"/>
    <w:rsid w:val="00C737CB"/>
    <w:rsid w:val="00CE241B"/>
    <w:rsid w:val="00CF3687"/>
    <w:rsid w:val="00D02676"/>
    <w:rsid w:val="00D3184E"/>
    <w:rsid w:val="00D70AEF"/>
    <w:rsid w:val="00D93057"/>
    <w:rsid w:val="00DB496D"/>
    <w:rsid w:val="00DB66E2"/>
    <w:rsid w:val="00DC1244"/>
    <w:rsid w:val="00DC3790"/>
    <w:rsid w:val="00DD5060"/>
    <w:rsid w:val="00E0285C"/>
    <w:rsid w:val="00E035A8"/>
    <w:rsid w:val="00E053A2"/>
    <w:rsid w:val="00E12CAD"/>
    <w:rsid w:val="00E30C36"/>
    <w:rsid w:val="00E33B4D"/>
    <w:rsid w:val="00E40BA7"/>
    <w:rsid w:val="00E765F3"/>
    <w:rsid w:val="00E96BC1"/>
    <w:rsid w:val="00E9726A"/>
    <w:rsid w:val="00EA3648"/>
    <w:rsid w:val="00EA48FA"/>
    <w:rsid w:val="00EA515C"/>
    <w:rsid w:val="00EB124A"/>
    <w:rsid w:val="00EC0A48"/>
    <w:rsid w:val="00EF2BBB"/>
    <w:rsid w:val="00F022C4"/>
    <w:rsid w:val="00F048B1"/>
    <w:rsid w:val="00F21926"/>
    <w:rsid w:val="00F2748B"/>
    <w:rsid w:val="00F3370E"/>
    <w:rsid w:val="00F55193"/>
    <w:rsid w:val="00F57D74"/>
    <w:rsid w:val="00F63B60"/>
    <w:rsid w:val="00F640DA"/>
    <w:rsid w:val="00F90B14"/>
    <w:rsid w:val="00F92104"/>
    <w:rsid w:val="00FD7E90"/>
    <w:rsid w:val="00FE30D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85A9EF6"/>
  <w15:chartTrackingRefBased/>
  <w15:docId w15:val="{DB83D271-BF77-4809-91C5-D8C07A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36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368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press-release-pagesubtitle">
    <w:name w:val="press-release-page__subtitle"/>
    <w:basedOn w:val="Normale"/>
    <w:rsid w:val="00B3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3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3680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368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19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5B9"/>
  </w:style>
  <w:style w:type="paragraph" w:styleId="Pidipagina">
    <w:name w:val="footer"/>
    <w:basedOn w:val="Normale"/>
    <w:link w:val="PidipaginaCarattere"/>
    <w:uiPriority w:val="99"/>
    <w:unhideWhenUsed/>
    <w:rsid w:val="003F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5B9"/>
  </w:style>
  <w:style w:type="character" w:styleId="Menzionenonrisolta">
    <w:name w:val="Unresolved Mention"/>
    <w:basedOn w:val="Carpredefinitoparagrafo"/>
    <w:uiPriority w:val="99"/>
    <w:semiHidden/>
    <w:unhideWhenUsed/>
    <w:rsid w:val="0027115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A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11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ews.rema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ax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0655-34E6-4748-9903-A2AA8A06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teruzzi</dc:creator>
  <cp:keywords/>
  <dc:description/>
  <cp:lastModifiedBy>Laura Premoli</cp:lastModifiedBy>
  <cp:revision>3</cp:revision>
  <cp:lastPrinted>2022-03-09T11:07:00Z</cp:lastPrinted>
  <dcterms:created xsi:type="dcterms:W3CDTF">2022-03-09T10:35:00Z</dcterms:created>
  <dcterms:modified xsi:type="dcterms:W3CDTF">2022-03-09T11:25:00Z</dcterms:modified>
</cp:coreProperties>
</file>