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874A7A" w14:textId="743A2726" w:rsidR="0006114E" w:rsidRPr="00652D41" w:rsidRDefault="00046291" w:rsidP="00FF19D1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Calibri Light" w:hAnsi="Calibri Light"/>
          <w:b/>
          <w:smallCaps/>
          <w:color w:val="FF0000"/>
          <w:sz w:val="36"/>
          <w:szCs w:val="36"/>
        </w:rPr>
      </w:pPr>
      <w:r w:rsidRPr="00652D41">
        <w:rPr>
          <w:rFonts w:ascii="Calibri Light" w:hAnsi="Calibri Light"/>
          <w:b/>
          <w:smallCaps/>
          <w:color w:val="FF0000"/>
          <w:sz w:val="36"/>
          <w:szCs w:val="36"/>
        </w:rPr>
        <w:t xml:space="preserve">24MAX </w:t>
      </w:r>
      <w:r w:rsidR="0053208E" w:rsidRPr="00652D41">
        <w:rPr>
          <w:rFonts w:ascii="Calibri Light" w:hAnsi="Calibri Light"/>
          <w:b/>
          <w:smallCaps/>
          <w:color w:val="FF0000"/>
          <w:sz w:val="36"/>
          <w:szCs w:val="36"/>
        </w:rPr>
        <w:t>rilascia</w:t>
      </w:r>
      <w:r w:rsidR="00B51397" w:rsidRPr="00652D41">
        <w:rPr>
          <w:rFonts w:ascii="Calibri Light" w:hAnsi="Calibri Light"/>
          <w:b/>
          <w:smallCaps/>
          <w:color w:val="FF0000"/>
          <w:sz w:val="36"/>
          <w:szCs w:val="36"/>
        </w:rPr>
        <w:t xml:space="preserve"> il Credit Report </w:t>
      </w:r>
      <w:r w:rsidR="00487BBF" w:rsidRPr="00652D41">
        <w:rPr>
          <w:rFonts w:ascii="Calibri Light" w:hAnsi="Calibri Light"/>
          <w:b/>
          <w:smallCaps/>
          <w:color w:val="FF0000"/>
          <w:sz w:val="36"/>
          <w:szCs w:val="36"/>
        </w:rPr>
        <w:t>2022</w:t>
      </w:r>
    </w:p>
    <w:p w14:paraId="6CEE1280" w14:textId="19AE0C69" w:rsidR="006B708C" w:rsidRPr="00652D41" w:rsidRDefault="006B708C" w:rsidP="00FF19D1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Calibri Light" w:hAnsi="Calibri Light"/>
          <w:b/>
          <w:i/>
          <w:color w:val="FF0000"/>
          <w:sz w:val="28"/>
          <w:szCs w:val="28"/>
        </w:rPr>
      </w:pPr>
      <w:proofErr w:type="spellStart"/>
      <w:r w:rsidRPr="00652D41">
        <w:rPr>
          <w:rFonts w:ascii="Calibri Light" w:hAnsi="Calibri Light"/>
          <w:b/>
          <w:i/>
          <w:color w:val="FF0000"/>
          <w:sz w:val="28"/>
          <w:szCs w:val="28"/>
        </w:rPr>
        <w:t>Overview</w:t>
      </w:r>
      <w:proofErr w:type="spellEnd"/>
      <w:r w:rsidRPr="00652D41">
        <w:rPr>
          <w:rFonts w:ascii="Calibri Light" w:hAnsi="Calibri Light"/>
          <w:b/>
          <w:i/>
          <w:color w:val="FF0000"/>
          <w:sz w:val="28"/>
          <w:szCs w:val="28"/>
        </w:rPr>
        <w:t xml:space="preserve"> mercato creditizio 2021 e previsioni 2022</w:t>
      </w:r>
    </w:p>
    <w:p w14:paraId="27718A9E" w14:textId="4BCBEDC6" w:rsidR="006E21E2" w:rsidRDefault="006E21E2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 w:themeColor="text1"/>
        </w:rPr>
      </w:pPr>
    </w:p>
    <w:p w14:paraId="3A673043" w14:textId="77DEF765" w:rsidR="006E21E2" w:rsidRPr="00A67C58" w:rsidRDefault="00A67C58" w:rsidP="00AB462F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color w:val="000000" w:themeColor="text1"/>
        </w:rPr>
      </w:pPr>
      <w:r>
        <w:rPr>
          <w:rFonts w:asciiTheme="majorHAnsi" w:hAnsiTheme="majorHAnsi"/>
        </w:rPr>
        <w:t>24</w:t>
      </w:r>
      <w:r w:rsidR="00487BBF">
        <w:rPr>
          <w:rFonts w:asciiTheme="majorHAnsi" w:hAnsiTheme="majorHAnsi"/>
        </w:rPr>
        <w:t xml:space="preserve"> marzo 2022</w:t>
      </w:r>
      <w:r w:rsidR="007272DA" w:rsidRPr="004E4099">
        <w:rPr>
          <w:rFonts w:asciiTheme="majorHAnsi" w:hAnsiTheme="majorHAnsi"/>
        </w:rPr>
        <w:t xml:space="preserve"> - </w:t>
      </w:r>
      <w:hyperlink r:id="rId8" w:history="1">
        <w:r w:rsidR="006E21E2" w:rsidRPr="00A67C58">
          <w:rPr>
            <w:rStyle w:val="Collegamentoipertestuale"/>
            <w:rFonts w:asciiTheme="majorHAnsi" w:eastAsia="Times New Roman" w:hAnsiTheme="majorHAnsi" w:cstheme="majorHAnsi"/>
            <w:b/>
            <w:bCs/>
          </w:rPr>
          <w:t>24MAX</w:t>
        </w:r>
        <w:r w:rsidR="006E21E2" w:rsidRPr="00A67C58">
          <w:rPr>
            <w:rStyle w:val="Collegamentoipertestuale"/>
            <w:rFonts w:asciiTheme="majorHAnsi" w:eastAsia="Times New Roman" w:hAnsiTheme="majorHAnsi" w:cstheme="majorHAnsi"/>
            <w:color w:val="000000" w:themeColor="text1"/>
            <w:u w:val="none"/>
          </w:rPr>
          <w:t>,</w:t>
        </w:r>
      </w:hyperlink>
      <w:r w:rsidR="006E21E2" w:rsidRPr="00A67C58">
        <w:rPr>
          <w:rFonts w:asciiTheme="majorHAnsi" w:eastAsia="Times New Roman" w:hAnsiTheme="majorHAnsi" w:cstheme="majorHAnsi"/>
          <w:b/>
          <w:bCs/>
          <w:color w:val="000000" w:themeColor="text1"/>
        </w:rPr>
        <w:t xml:space="preserve"> società di mediazione creditizia del Gruppo </w:t>
      </w:r>
      <w:hyperlink r:id="rId9" w:history="1">
        <w:r w:rsidR="006E21E2" w:rsidRPr="00A67C58">
          <w:rPr>
            <w:rStyle w:val="Collegamentoipertestuale"/>
            <w:rFonts w:asciiTheme="majorHAnsi" w:eastAsia="Times New Roman" w:hAnsiTheme="majorHAnsi" w:cstheme="majorHAnsi"/>
            <w:b/>
            <w:bCs/>
          </w:rPr>
          <w:t>RE/MAX</w:t>
        </w:r>
      </w:hyperlink>
      <w:r w:rsidR="006E21E2" w:rsidRPr="00A67C58">
        <w:rPr>
          <w:rFonts w:asciiTheme="majorHAnsi" w:eastAsia="Times New Roman" w:hAnsiTheme="majorHAnsi" w:cstheme="majorHAnsi"/>
          <w:b/>
          <w:bCs/>
          <w:color w:val="000000" w:themeColor="text1"/>
        </w:rPr>
        <w:t xml:space="preserve">, </w:t>
      </w:r>
      <w:r w:rsidR="0053208E" w:rsidRPr="00A67C58">
        <w:rPr>
          <w:rFonts w:asciiTheme="majorHAnsi" w:eastAsia="Times New Roman" w:hAnsiTheme="majorHAnsi" w:cstheme="majorHAnsi"/>
          <w:b/>
          <w:bCs/>
          <w:color w:val="000000" w:themeColor="text1"/>
        </w:rPr>
        <w:t xml:space="preserve">ha </w:t>
      </w:r>
      <w:r w:rsidR="007B14F7" w:rsidRPr="00A67C58">
        <w:rPr>
          <w:rFonts w:asciiTheme="majorHAnsi" w:eastAsia="Times New Roman" w:hAnsiTheme="majorHAnsi" w:cstheme="majorHAnsi"/>
          <w:b/>
          <w:bCs/>
          <w:color w:val="000000" w:themeColor="text1"/>
        </w:rPr>
        <w:t>rilascia</w:t>
      </w:r>
      <w:r w:rsidR="0053208E" w:rsidRPr="00A67C58">
        <w:rPr>
          <w:rFonts w:asciiTheme="majorHAnsi" w:eastAsia="Times New Roman" w:hAnsiTheme="majorHAnsi" w:cstheme="majorHAnsi"/>
          <w:b/>
          <w:bCs/>
          <w:color w:val="000000" w:themeColor="text1"/>
        </w:rPr>
        <w:t>to</w:t>
      </w:r>
      <w:r w:rsidR="007B14F7" w:rsidRPr="00A67C58">
        <w:rPr>
          <w:rFonts w:asciiTheme="majorHAnsi" w:eastAsia="Times New Roman" w:hAnsiTheme="majorHAnsi" w:cstheme="majorHAnsi"/>
          <w:b/>
          <w:bCs/>
          <w:color w:val="000000" w:themeColor="text1"/>
        </w:rPr>
        <w:t xml:space="preserve"> il</w:t>
      </w:r>
      <w:r w:rsidR="006E21E2" w:rsidRPr="00A67C58">
        <w:rPr>
          <w:rFonts w:asciiTheme="majorHAnsi" w:eastAsia="Times New Roman" w:hAnsiTheme="majorHAnsi" w:cstheme="majorHAnsi"/>
          <w:b/>
          <w:bCs/>
          <w:color w:val="000000" w:themeColor="text1"/>
        </w:rPr>
        <w:t xml:space="preserve"> </w:t>
      </w:r>
      <w:hyperlink r:id="rId10" w:history="1">
        <w:r w:rsidR="006E21E2" w:rsidRPr="00A67C58">
          <w:rPr>
            <w:rStyle w:val="Collegamentoipertestuale"/>
            <w:rFonts w:asciiTheme="majorHAnsi" w:eastAsia="Times New Roman" w:hAnsiTheme="majorHAnsi" w:cstheme="majorHAnsi"/>
            <w:b/>
            <w:bCs/>
          </w:rPr>
          <w:t xml:space="preserve">Credit Report </w:t>
        </w:r>
        <w:r w:rsidR="00487BBF" w:rsidRPr="00A67C58">
          <w:rPr>
            <w:rStyle w:val="Collegamentoipertestuale"/>
            <w:rFonts w:asciiTheme="majorHAnsi" w:eastAsia="Times New Roman" w:hAnsiTheme="majorHAnsi" w:cstheme="majorHAnsi"/>
            <w:b/>
            <w:bCs/>
          </w:rPr>
          <w:t>2022</w:t>
        </w:r>
      </w:hyperlink>
      <w:bookmarkStart w:id="0" w:name="_GoBack"/>
      <w:bookmarkEnd w:id="0"/>
      <w:r w:rsidR="0053208E" w:rsidRPr="00A67C58">
        <w:rPr>
          <w:rFonts w:asciiTheme="majorHAnsi" w:eastAsia="Times New Roman" w:hAnsiTheme="majorHAnsi" w:cstheme="majorHAnsi"/>
          <w:b/>
          <w:bCs/>
        </w:rPr>
        <w:t xml:space="preserve"> che contiene un</w:t>
      </w:r>
      <w:r w:rsidR="00955CB6" w:rsidRPr="00A67C58">
        <w:rPr>
          <w:rFonts w:asciiTheme="majorHAnsi" w:eastAsia="Times New Roman" w:hAnsiTheme="majorHAnsi" w:cstheme="majorHAnsi"/>
          <w:b/>
          <w:bCs/>
        </w:rPr>
        <w:t>a</w:t>
      </w:r>
      <w:r w:rsidR="0053208E" w:rsidRPr="00A67C58">
        <w:rPr>
          <w:rFonts w:asciiTheme="majorHAnsi" w:eastAsia="Times New Roman" w:hAnsiTheme="majorHAnsi" w:cstheme="majorHAnsi"/>
          <w:b/>
          <w:bCs/>
        </w:rPr>
        <w:t xml:space="preserve"> </w:t>
      </w:r>
      <w:proofErr w:type="spellStart"/>
      <w:r w:rsidR="0053208E" w:rsidRPr="00A67C58">
        <w:rPr>
          <w:rFonts w:asciiTheme="majorHAnsi" w:eastAsia="Times New Roman" w:hAnsiTheme="majorHAnsi" w:cstheme="majorHAnsi"/>
          <w:b/>
          <w:bCs/>
        </w:rPr>
        <w:t>overview</w:t>
      </w:r>
      <w:proofErr w:type="spellEnd"/>
      <w:r w:rsidR="0053208E" w:rsidRPr="00A67C58">
        <w:rPr>
          <w:rFonts w:asciiTheme="majorHAnsi" w:eastAsia="Times New Roman" w:hAnsiTheme="majorHAnsi" w:cstheme="majorHAnsi"/>
          <w:b/>
          <w:bCs/>
        </w:rPr>
        <w:t xml:space="preserve"> del mercato creditizio nel 2021 e le previsioni per l’anno in corso</w:t>
      </w:r>
      <w:r w:rsidR="006E21E2" w:rsidRPr="00A67C58">
        <w:rPr>
          <w:rFonts w:asciiTheme="majorHAnsi" w:eastAsia="Times New Roman" w:hAnsiTheme="majorHAnsi" w:cstheme="majorHAnsi"/>
          <w:b/>
          <w:bCs/>
          <w:color w:val="000000" w:themeColor="text1"/>
        </w:rPr>
        <w:t xml:space="preserve">. Nel </w:t>
      </w:r>
      <w:r w:rsidR="00372A53" w:rsidRPr="00A67C58">
        <w:rPr>
          <w:rFonts w:asciiTheme="majorHAnsi" w:eastAsia="Times New Roman" w:hAnsiTheme="majorHAnsi" w:cstheme="majorHAnsi"/>
          <w:b/>
          <w:bCs/>
          <w:color w:val="000000" w:themeColor="text1"/>
        </w:rPr>
        <w:t>R</w:t>
      </w:r>
      <w:r w:rsidR="006E21E2" w:rsidRPr="00A67C58">
        <w:rPr>
          <w:rFonts w:asciiTheme="majorHAnsi" w:eastAsia="Times New Roman" w:hAnsiTheme="majorHAnsi" w:cstheme="majorHAnsi"/>
          <w:b/>
          <w:bCs/>
          <w:color w:val="000000" w:themeColor="text1"/>
        </w:rPr>
        <w:t>eport vengono analizzati gli andamenti del mercato messi a confronto con i dati</w:t>
      </w:r>
      <w:r w:rsidR="00E747DC" w:rsidRPr="00A67C58">
        <w:rPr>
          <w:rFonts w:asciiTheme="majorHAnsi" w:eastAsia="Times New Roman" w:hAnsiTheme="majorHAnsi" w:cstheme="majorHAnsi"/>
          <w:b/>
          <w:bCs/>
          <w:color w:val="000000" w:themeColor="text1"/>
        </w:rPr>
        <w:t xml:space="preserve"> </w:t>
      </w:r>
      <w:r w:rsidR="00372A53" w:rsidRPr="00A67C58">
        <w:rPr>
          <w:rFonts w:asciiTheme="majorHAnsi" w:eastAsia="Times New Roman" w:hAnsiTheme="majorHAnsi" w:cstheme="majorHAnsi"/>
          <w:b/>
          <w:bCs/>
          <w:color w:val="000000" w:themeColor="text1"/>
        </w:rPr>
        <w:t>registrati</w:t>
      </w:r>
      <w:r w:rsidR="006E21E2" w:rsidRPr="00A67C58">
        <w:rPr>
          <w:rFonts w:asciiTheme="majorHAnsi" w:eastAsia="Times New Roman" w:hAnsiTheme="majorHAnsi" w:cstheme="majorHAnsi"/>
          <w:b/>
          <w:bCs/>
          <w:color w:val="000000" w:themeColor="text1"/>
        </w:rPr>
        <w:t xml:space="preserve"> </w:t>
      </w:r>
      <w:r w:rsidR="00950D9B" w:rsidRPr="00A67C58">
        <w:rPr>
          <w:rFonts w:asciiTheme="majorHAnsi" w:eastAsia="Times New Roman" w:hAnsiTheme="majorHAnsi" w:cstheme="majorHAnsi"/>
          <w:b/>
          <w:bCs/>
          <w:color w:val="000000" w:themeColor="text1"/>
        </w:rPr>
        <w:t>dall’Ufficio</w:t>
      </w:r>
      <w:r w:rsidR="00E747DC" w:rsidRPr="00A67C58">
        <w:rPr>
          <w:rFonts w:asciiTheme="majorHAnsi" w:eastAsia="Times New Roman" w:hAnsiTheme="majorHAnsi" w:cstheme="majorHAnsi"/>
          <w:b/>
          <w:bCs/>
          <w:color w:val="000000" w:themeColor="text1"/>
        </w:rPr>
        <w:t xml:space="preserve"> Studi di</w:t>
      </w:r>
      <w:r w:rsidR="006E21E2" w:rsidRPr="00A67C58">
        <w:rPr>
          <w:rFonts w:asciiTheme="majorHAnsi" w:eastAsia="Times New Roman" w:hAnsiTheme="majorHAnsi" w:cstheme="majorHAnsi"/>
          <w:b/>
          <w:bCs/>
          <w:color w:val="000000" w:themeColor="text1"/>
        </w:rPr>
        <w:t xml:space="preserve"> 24MAX sulla base del transato reale. All’analisi quantitativa viene associata un’analisi qualitativa con l’identikit sociodemografico di chi richiede un mutuo. </w:t>
      </w:r>
    </w:p>
    <w:p w14:paraId="49DFA0D8" w14:textId="3E798B2C" w:rsidR="006E21E2" w:rsidRPr="00A67C58" w:rsidRDefault="006E21E2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FF0000"/>
        </w:rPr>
      </w:pPr>
      <w:r w:rsidRPr="00A67C58">
        <w:rPr>
          <w:rFonts w:asciiTheme="majorHAnsi" w:eastAsia="Times New Roman" w:hAnsiTheme="majorHAnsi" w:cstheme="majorHAnsi"/>
          <w:b/>
          <w:bCs/>
          <w:color w:val="FF0000"/>
        </w:rPr>
        <w:t>ANDAMENTO MERCATO CREDITIZIO</w:t>
      </w:r>
      <w:r w:rsidR="007B14F7" w:rsidRPr="00A67C58">
        <w:rPr>
          <w:rFonts w:asciiTheme="majorHAnsi" w:eastAsia="Times New Roman" w:hAnsiTheme="majorHAnsi" w:cstheme="majorHAnsi"/>
          <w:b/>
          <w:bCs/>
          <w:color w:val="FF0000"/>
        </w:rPr>
        <w:t xml:space="preserve"> </w:t>
      </w:r>
      <w:r w:rsidR="00AB0CCE" w:rsidRPr="00A67C58">
        <w:rPr>
          <w:rFonts w:asciiTheme="majorHAnsi" w:eastAsia="Times New Roman" w:hAnsiTheme="majorHAnsi" w:cstheme="majorHAnsi"/>
          <w:b/>
          <w:bCs/>
          <w:color w:val="FF0000"/>
        </w:rPr>
        <w:t>2021</w:t>
      </w:r>
      <w:r w:rsidRPr="00A67C58">
        <w:rPr>
          <w:rFonts w:asciiTheme="majorHAnsi" w:eastAsia="Times New Roman" w:hAnsiTheme="majorHAnsi" w:cstheme="majorHAnsi"/>
          <w:b/>
          <w:bCs/>
          <w:color w:val="FF0000"/>
        </w:rPr>
        <w:t xml:space="preserve"> </w:t>
      </w:r>
    </w:p>
    <w:p w14:paraId="161576CD" w14:textId="77777777" w:rsidR="00AB462F" w:rsidRPr="00A67C58" w:rsidRDefault="009370AB" w:rsidP="00AB462F">
      <w:pPr>
        <w:spacing w:line="276" w:lineRule="auto"/>
        <w:jc w:val="both"/>
        <w:rPr>
          <w:rFonts w:asciiTheme="majorHAnsi" w:hAnsiTheme="majorHAnsi"/>
        </w:rPr>
      </w:pPr>
      <w:r w:rsidRPr="00A67C58">
        <w:rPr>
          <w:rFonts w:asciiTheme="majorHAnsi" w:hAnsiTheme="majorHAnsi"/>
        </w:rPr>
        <w:t>Il 2021 è stato contraddistinto dall’</w:t>
      </w:r>
      <w:r w:rsidRPr="00A67C58">
        <w:rPr>
          <w:rFonts w:asciiTheme="majorHAnsi" w:hAnsiTheme="majorHAnsi"/>
          <w:b/>
          <w:bCs/>
        </w:rPr>
        <w:t>orientamento espansivo della politica monetaria</w:t>
      </w:r>
      <w:r w:rsidRPr="00A67C58">
        <w:rPr>
          <w:rFonts w:asciiTheme="majorHAnsi" w:hAnsiTheme="majorHAnsi"/>
        </w:rPr>
        <w:t xml:space="preserve">, con </w:t>
      </w:r>
      <w:r w:rsidRPr="00A67C58">
        <w:rPr>
          <w:rFonts w:asciiTheme="majorHAnsi" w:hAnsiTheme="majorHAnsi"/>
          <w:b/>
          <w:bCs/>
        </w:rPr>
        <w:t>condizioni di finanziamento molto favorevoli</w:t>
      </w:r>
      <w:r w:rsidRPr="00A67C58">
        <w:rPr>
          <w:rFonts w:asciiTheme="majorHAnsi" w:hAnsiTheme="majorHAnsi"/>
        </w:rPr>
        <w:t xml:space="preserve">, che ha determinato un incremento della </w:t>
      </w:r>
      <w:r w:rsidRPr="00A67C58">
        <w:rPr>
          <w:rFonts w:asciiTheme="majorHAnsi" w:hAnsiTheme="majorHAnsi"/>
          <w:b/>
          <w:bCs/>
        </w:rPr>
        <w:t xml:space="preserve">domanda e dell’effettiva erogazione </w:t>
      </w:r>
      <w:r w:rsidR="0053208E" w:rsidRPr="00A67C58">
        <w:rPr>
          <w:rFonts w:asciiTheme="majorHAnsi" w:hAnsiTheme="majorHAnsi"/>
          <w:b/>
          <w:bCs/>
        </w:rPr>
        <w:t>d</w:t>
      </w:r>
      <w:r w:rsidR="00E12C9B" w:rsidRPr="00A67C58">
        <w:rPr>
          <w:rFonts w:asciiTheme="majorHAnsi" w:hAnsiTheme="majorHAnsi"/>
          <w:b/>
          <w:bCs/>
        </w:rPr>
        <w:t xml:space="preserve">i mutui. </w:t>
      </w:r>
      <w:r w:rsidR="00E12C9B" w:rsidRPr="00A67C58">
        <w:rPr>
          <w:rFonts w:asciiTheme="majorHAnsi" w:hAnsiTheme="majorHAnsi"/>
        </w:rPr>
        <w:t>Un aumento</w:t>
      </w:r>
      <w:r w:rsidRPr="00A67C58">
        <w:rPr>
          <w:rFonts w:asciiTheme="majorHAnsi" w:hAnsiTheme="majorHAnsi"/>
        </w:rPr>
        <w:t xml:space="preserve"> favorit</w:t>
      </w:r>
      <w:r w:rsidR="00E12C9B" w:rsidRPr="00A67C58">
        <w:rPr>
          <w:rFonts w:asciiTheme="majorHAnsi" w:hAnsiTheme="majorHAnsi"/>
        </w:rPr>
        <w:t>o</w:t>
      </w:r>
      <w:r w:rsidRPr="00A67C58">
        <w:rPr>
          <w:rFonts w:asciiTheme="majorHAnsi" w:hAnsiTheme="majorHAnsi"/>
        </w:rPr>
        <w:t xml:space="preserve"> dalla maggiore fiducia dei consumatori, dai tassi di interesse ai minimi storici e dalle </w:t>
      </w:r>
      <w:r w:rsidR="00937DF6" w:rsidRPr="00A67C58">
        <w:rPr>
          <w:rFonts w:asciiTheme="majorHAnsi" w:hAnsiTheme="majorHAnsi"/>
          <w:b/>
          <w:bCs/>
        </w:rPr>
        <w:t>agevolazioni governative</w:t>
      </w:r>
      <w:r w:rsidR="00937DF6" w:rsidRPr="00A67C58">
        <w:rPr>
          <w:rFonts w:asciiTheme="majorHAnsi" w:hAnsiTheme="majorHAnsi"/>
        </w:rPr>
        <w:t xml:space="preserve"> quali Ecobonus, bonus fiscali dedicati al mondo della casa e dei condomini, Decreto Sostegni bis e Bonus prima casa </w:t>
      </w:r>
      <w:r w:rsidR="00AB462F" w:rsidRPr="00A67C58">
        <w:rPr>
          <w:rFonts w:asciiTheme="majorHAnsi" w:hAnsiTheme="majorHAnsi"/>
        </w:rPr>
        <w:t>U</w:t>
      </w:r>
      <w:r w:rsidR="00937DF6" w:rsidRPr="00A67C58">
        <w:rPr>
          <w:rFonts w:asciiTheme="majorHAnsi" w:hAnsiTheme="majorHAnsi"/>
        </w:rPr>
        <w:t xml:space="preserve">nder 36 che </w:t>
      </w:r>
      <w:r w:rsidR="00937DF6" w:rsidRPr="00A67C58">
        <w:rPr>
          <w:rFonts w:asciiTheme="majorHAnsi" w:hAnsiTheme="majorHAnsi"/>
          <w:b/>
          <w:bCs/>
        </w:rPr>
        <w:t>hanno</w:t>
      </w:r>
      <w:r w:rsidR="00937DF6" w:rsidRPr="00A67C58">
        <w:rPr>
          <w:rFonts w:asciiTheme="majorHAnsi" w:hAnsiTheme="majorHAnsi"/>
        </w:rPr>
        <w:t xml:space="preserve"> </w:t>
      </w:r>
      <w:r w:rsidR="00937DF6" w:rsidRPr="00A67C58">
        <w:rPr>
          <w:rFonts w:asciiTheme="majorHAnsi" w:hAnsiTheme="majorHAnsi"/>
          <w:b/>
          <w:bCs/>
        </w:rPr>
        <w:t>risvegliato una domanda latente</w:t>
      </w:r>
      <w:r w:rsidR="00937DF6" w:rsidRPr="00A67C58">
        <w:rPr>
          <w:rFonts w:asciiTheme="majorHAnsi" w:hAnsiTheme="majorHAnsi"/>
        </w:rPr>
        <w:t xml:space="preserve">, andando ad influire sull’andamento complessivo delle compravendite. </w:t>
      </w:r>
    </w:p>
    <w:p w14:paraId="17EC8F32" w14:textId="42ED3333" w:rsidR="00080BE6" w:rsidRPr="00A67C58" w:rsidRDefault="00080BE6" w:rsidP="00AB462F">
      <w:pPr>
        <w:spacing w:line="276" w:lineRule="auto"/>
        <w:jc w:val="both"/>
        <w:rPr>
          <w:rFonts w:asciiTheme="majorHAnsi" w:hAnsiTheme="majorHAnsi"/>
          <w:b/>
          <w:bCs/>
        </w:rPr>
      </w:pPr>
      <w:r w:rsidRPr="00A67C58">
        <w:rPr>
          <w:rFonts w:asciiTheme="majorHAnsi" w:hAnsiTheme="majorHAnsi"/>
        </w:rPr>
        <w:t>“</w:t>
      </w:r>
      <w:r w:rsidRPr="00A67C58">
        <w:rPr>
          <w:rFonts w:asciiTheme="majorHAnsi" w:hAnsiTheme="majorHAnsi"/>
          <w:i/>
          <w:iCs/>
        </w:rPr>
        <w:t xml:space="preserve">Negli ultimi 24 mesi il </w:t>
      </w:r>
      <w:r w:rsidR="0053208E" w:rsidRPr="00A67C58">
        <w:rPr>
          <w:rFonts w:asciiTheme="majorHAnsi" w:hAnsiTheme="majorHAnsi"/>
          <w:i/>
          <w:iCs/>
        </w:rPr>
        <w:t xml:space="preserve">tasso </w:t>
      </w:r>
      <w:r w:rsidRPr="00A67C58">
        <w:rPr>
          <w:rFonts w:asciiTheme="majorHAnsi" w:hAnsiTheme="majorHAnsi"/>
          <w:i/>
          <w:iCs/>
        </w:rPr>
        <w:t xml:space="preserve">fisso ha giocato il ruolo principale in un mercato finanziario che </w:t>
      </w:r>
      <w:r w:rsidR="00FE6A24" w:rsidRPr="00A67C58">
        <w:rPr>
          <w:rFonts w:asciiTheme="majorHAnsi" w:hAnsiTheme="majorHAnsi"/>
          <w:i/>
          <w:iCs/>
        </w:rPr>
        <w:t xml:space="preserve">ha </w:t>
      </w:r>
      <w:r w:rsidRPr="00A67C58">
        <w:rPr>
          <w:rFonts w:asciiTheme="majorHAnsi" w:hAnsiTheme="majorHAnsi"/>
          <w:i/>
          <w:iCs/>
        </w:rPr>
        <w:t>continua</w:t>
      </w:r>
      <w:r w:rsidR="00FE6A24" w:rsidRPr="00A67C58">
        <w:rPr>
          <w:rFonts w:asciiTheme="majorHAnsi" w:hAnsiTheme="majorHAnsi"/>
          <w:i/>
          <w:iCs/>
        </w:rPr>
        <w:t>to</w:t>
      </w:r>
      <w:r w:rsidRPr="00A67C58">
        <w:rPr>
          <w:rFonts w:asciiTheme="majorHAnsi" w:hAnsiTheme="majorHAnsi"/>
          <w:i/>
          <w:iCs/>
        </w:rPr>
        <w:t xml:space="preserve"> </w:t>
      </w:r>
      <w:r w:rsidR="0053208E" w:rsidRPr="00A67C58">
        <w:rPr>
          <w:rFonts w:asciiTheme="majorHAnsi" w:hAnsiTheme="majorHAnsi"/>
          <w:i/>
          <w:iCs/>
        </w:rPr>
        <w:t xml:space="preserve">ad essere ai </w:t>
      </w:r>
      <w:r w:rsidRPr="00A67C58">
        <w:rPr>
          <w:rFonts w:asciiTheme="majorHAnsi" w:hAnsiTheme="majorHAnsi"/>
          <w:i/>
          <w:iCs/>
        </w:rPr>
        <w:t>minimi storici</w:t>
      </w:r>
      <w:r w:rsidR="0053208E" w:rsidRPr="00A67C58">
        <w:rPr>
          <w:rFonts w:asciiTheme="majorHAnsi" w:hAnsiTheme="majorHAnsi"/>
        </w:rPr>
        <w:t>”,</w:t>
      </w:r>
      <w:r w:rsidRPr="00A67C58">
        <w:rPr>
          <w:rFonts w:asciiTheme="majorHAnsi" w:hAnsiTheme="majorHAnsi"/>
        </w:rPr>
        <w:t xml:space="preserve"> </w:t>
      </w:r>
      <w:r w:rsidR="00955CB6" w:rsidRPr="00A67C58">
        <w:rPr>
          <w:rFonts w:asciiTheme="majorHAnsi" w:hAnsiTheme="majorHAnsi"/>
        </w:rPr>
        <w:t>afferma</w:t>
      </w:r>
      <w:r w:rsidR="00E12C9B" w:rsidRPr="00A67C58">
        <w:rPr>
          <w:rFonts w:asciiTheme="majorHAnsi" w:hAnsiTheme="majorHAnsi"/>
        </w:rPr>
        <w:t xml:space="preserve"> </w:t>
      </w:r>
      <w:r w:rsidRPr="00A67C58">
        <w:rPr>
          <w:rFonts w:asciiTheme="majorHAnsi" w:hAnsiTheme="majorHAnsi"/>
          <w:b/>
          <w:bCs/>
        </w:rPr>
        <w:t xml:space="preserve">Riccardo Bernardi, </w:t>
      </w:r>
      <w:proofErr w:type="spellStart"/>
      <w:r w:rsidRPr="00A67C58">
        <w:rPr>
          <w:rFonts w:asciiTheme="majorHAnsi" w:hAnsiTheme="majorHAnsi"/>
          <w:b/>
          <w:bCs/>
        </w:rPr>
        <w:t>Chief</w:t>
      </w:r>
      <w:proofErr w:type="spellEnd"/>
      <w:r w:rsidRPr="00A67C58">
        <w:rPr>
          <w:rFonts w:asciiTheme="majorHAnsi" w:hAnsiTheme="majorHAnsi"/>
          <w:b/>
          <w:bCs/>
        </w:rPr>
        <w:t xml:space="preserve"> Development </w:t>
      </w:r>
      <w:proofErr w:type="spellStart"/>
      <w:r w:rsidRPr="00A67C58">
        <w:rPr>
          <w:rFonts w:asciiTheme="majorHAnsi" w:hAnsiTheme="majorHAnsi"/>
          <w:b/>
          <w:bCs/>
        </w:rPr>
        <w:t>Officer</w:t>
      </w:r>
      <w:proofErr w:type="spellEnd"/>
      <w:r w:rsidRPr="00A67C58">
        <w:rPr>
          <w:rFonts w:asciiTheme="majorHAnsi" w:hAnsiTheme="majorHAnsi"/>
          <w:b/>
          <w:bCs/>
        </w:rPr>
        <w:t xml:space="preserve"> di 24</w:t>
      </w:r>
      <w:r w:rsidR="0053208E" w:rsidRPr="00A67C58">
        <w:rPr>
          <w:rFonts w:asciiTheme="majorHAnsi" w:hAnsiTheme="majorHAnsi"/>
          <w:b/>
          <w:bCs/>
        </w:rPr>
        <w:t>MAX</w:t>
      </w:r>
      <w:r w:rsidRPr="00A67C58">
        <w:rPr>
          <w:rFonts w:asciiTheme="majorHAnsi" w:hAnsiTheme="majorHAnsi"/>
        </w:rPr>
        <w:t xml:space="preserve">. </w:t>
      </w:r>
      <w:r w:rsidR="00E12C9B" w:rsidRPr="00A67C58">
        <w:rPr>
          <w:rFonts w:asciiTheme="majorHAnsi" w:hAnsiTheme="majorHAnsi"/>
        </w:rPr>
        <w:t xml:space="preserve">Visione confermata dall’analisi </w:t>
      </w:r>
      <w:r w:rsidRPr="00A67C58">
        <w:rPr>
          <w:rFonts w:asciiTheme="majorHAnsi" w:hAnsiTheme="majorHAnsi"/>
        </w:rPr>
        <w:t>del transato elaborat</w:t>
      </w:r>
      <w:r w:rsidR="0053208E" w:rsidRPr="00A67C58">
        <w:rPr>
          <w:rFonts w:asciiTheme="majorHAnsi" w:hAnsiTheme="majorHAnsi"/>
        </w:rPr>
        <w:t>o</w:t>
      </w:r>
      <w:r w:rsidRPr="00A67C58">
        <w:rPr>
          <w:rFonts w:asciiTheme="majorHAnsi" w:hAnsiTheme="majorHAnsi"/>
        </w:rPr>
        <w:t xml:space="preserve"> </w:t>
      </w:r>
      <w:r w:rsidR="00E12C9B" w:rsidRPr="00A67C58">
        <w:rPr>
          <w:rFonts w:asciiTheme="majorHAnsi" w:hAnsiTheme="majorHAnsi"/>
        </w:rPr>
        <w:t>dall’</w:t>
      </w:r>
      <w:r w:rsidRPr="00A67C58">
        <w:rPr>
          <w:rFonts w:asciiTheme="majorHAnsi" w:hAnsiTheme="majorHAnsi"/>
        </w:rPr>
        <w:t>Ufficio Studi</w:t>
      </w:r>
      <w:r w:rsidR="00E12C9B" w:rsidRPr="00A67C58">
        <w:rPr>
          <w:rFonts w:asciiTheme="majorHAnsi" w:hAnsiTheme="majorHAnsi"/>
        </w:rPr>
        <w:t xml:space="preserve"> di 24MAX da cui emerge c</w:t>
      </w:r>
      <w:r w:rsidRPr="00A67C58">
        <w:rPr>
          <w:rFonts w:asciiTheme="majorHAnsi" w:hAnsiTheme="majorHAnsi"/>
        </w:rPr>
        <w:t>he</w:t>
      </w:r>
      <w:r w:rsidR="00E12C9B" w:rsidRPr="00A67C58">
        <w:rPr>
          <w:rFonts w:asciiTheme="majorHAnsi" w:hAnsiTheme="majorHAnsi"/>
        </w:rPr>
        <w:t xml:space="preserve"> </w:t>
      </w:r>
      <w:r w:rsidR="00E12C9B" w:rsidRPr="00A67C58">
        <w:rPr>
          <w:rFonts w:asciiTheme="majorHAnsi" w:hAnsiTheme="majorHAnsi"/>
          <w:b/>
          <w:bCs/>
        </w:rPr>
        <w:t xml:space="preserve">nel 2021 </w:t>
      </w:r>
      <w:r w:rsidRPr="00A67C58">
        <w:rPr>
          <w:rFonts w:asciiTheme="majorHAnsi" w:hAnsiTheme="majorHAnsi"/>
          <w:b/>
          <w:bCs/>
        </w:rPr>
        <w:t>quasi il 90% dei mutui erogati è stato a tasso fisso.</w:t>
      </w:r>
    </w:p>
    <w:p w14:paraId="513E89F9" w14:textId="5E6459D3" w:rsidR="00324947" w:rsidRPr="00A67C58" w:rsidRDefault="00324947" w:rsidP="00955CB6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FF0000"/>
        </w:rPr>
      </w:pPr>
      <w:r w:rsidRPr="00A67C58">
        <w:rPr>
          <w:rFonts w:asciiTheme="majorHAnsi" w:eastAsia="Times New Roman" w:hAnsiTheme="majorHAnsi" w:cstheme="majorHAnsi"/>
          <w:b/>
          <w:bCs/>
          <w:color w:val="FF0000"/>
        </w:rPr>
        <w:t xml:space="preserve">IDENTIKIT SOCIODEMOGRAFICO </w:t>
      </w:r>
    </w:p>
    <w:p w14:paraId="1C9AD376" w14:textId="7FE4A79B" w:rsidR="00324947" w:rsidRPr="00A67C58" w:rsidRDefault="00324947" w:rsidP="00955CB6">
      <w:pPr>
        <w:spacing w:line="276" w:lineRule="auto"/>
        <w:jc w:val="both"/>
        <w:rPr>
          <w:rFonts w:asciiTheme="majorHAnsi" w:eastAsia="Times New Roman" w:hAnsiTheme="majorHAnsi" w:cstheme="majorHAnsi"/>
          <w:color w:val="000000" w:themeColor="text1"/>
        </w:rPr>
      </w:pPr>
      <w:r w:rsidRPr="00A67C58">
        <w:rPr>
          <w:rFonts w:asciiTheme="majorHAnsi" w:eastAsia="Times New Roman" w:hAnsiTheme="majorHAnsi" w:cstheme="majorHAnsi"/>
          <w:color w:val="000000" w:themeColor="text1"/>
        </w:rPr>
        <w:t xml:space="preserve">Dall’analisi del transato di 24MAX tra </w:t>
      </w:r>
      <w:r w:rsidRPr="00A67C58">
        <w:rPr>
          <w:rFonts w:asciiTheme="majorHAnsi" w:eastAsia="Times New Roman" w:hAnsiTheme="majorHAnsi" w:cstheme="majorHAnsi"/>
          <w:b/>
          <w:bCs/>
          <w:color w:val="000000" w:themeColor="text1"/>
        </w:rPr>
        <w:t>chi ha richiesto un mutuo</w:t>
      </w:r>
      <w:r w:rsidRPr="00A67C58">
        <w:rPr>
          <w:rFonts w:asciiTheme="majorHAnsi" w:eastAsia="Times New Roman" w:hAnsiTheme="majorHAnsi" w:cstheme="majorHAnsi"/>
          <w:color w:val="000000" w:themeColor="text1"/>
        </w:rPr>
        <w:t xml:space="preserve"> </w:t>
      </w:r>
      <w:r w:rsidRPr="00A67C58">
        <w:rPr>
          <w:rFonts w:asciiTheme="majorHAnsi" w:eastAsia="Times New Roman" w:hAnsiTheme="majorHAnsi" w:cstheme="majorHAnsi"/>
          <w:b/>
          <w:bCs/>
          <w:color w:val="000000" w:themeColor="text1"/>
        </w:rPr>
        <w:t>nel 2021</w:t>
      </w:r>
      <w:r w:rsidRPr="00A67C58">
        <w:rPr>
          <w:rFonts w:asciiTheme="majorHAnsi" w:eastAsia="Times New Roman" w:hAnsiTheme="majorHAnsi" w:cstheme="majorHAnsi"/>
          <w:color w:val="000000" w:themeColor="text1"/>
        </w:rPr>
        <w:t xml:space="preserve">, </w:t>
      </w:r>
      <w:r w:rsidRPr="00A67C58">
        <w:rPr>
          <w:rFonts w:asciiTheme="majorHAnsi" w:eastAsia="Times New Roman" w:hAnsiTheme="majorHAnsi" w:cstheme="majorHAnsi"/>
          <w:b/>
          <w:bCs/>
          <w:color w:val="000000" w:themeColor="text1"/>
        </w:rPr>
        <w:t>il 48,3% è coniugato</w:t>
      </w:r>
      <w:r w:rsidRPr="00A67C58">
        <w:rPr>
          <w:rFonts w:asciiTheme="majorHAnsi" w:eastAsia="Times New Roman" w:hAnsiTheme="majorHAnsi" w:cstheme="majorHAnsi"/>
          <w:color w:val="000000" w:themeColor="text1"/>
        </w:rPr>
        <w:t xml:space="preserve">. </w:t>
      </w:r>
      <w:r w:rsidRPr="00A67C58">
        <w:rPr>
          <w:rFonts w:asciiTheme="majorHAnsi" w:eastAsia="Times New Roman" w:hAnsiTheme="majorHAnsi" w:cstheme="majorHAnsi"/>
          <w:b/>
          <w:bCs/>
          <w:color w:val="000000" w:themeColor="text1"/>
        </w:rPr>
        <w:t>Il 36,1% è single</w:t>
      </w:r>
      <w:r w:rsidRPr="00A67C58">
        <w:rPr>
          <w:rFonts w:asciiTheme="majorHAnsi" w:eastAsia="Times New Roman" w:hAnsiTheme="majorHAnsi" w:cstheme="majorHAnsi"/>
          <w:color w:val="000000" w:themeColor="text1"/>
        </w:rPr>
        <w:t>, con una prevalenza degli uomini (58,5%) sulle donne (41,5%), sostanzialmente stabile nel corso dell’anno. Stabili per tutto il 2021</w:t>
      </w:r>
      <w:r w:rsidR="00CE7038" w:rsidRPr="00A67C58">
        <w:rPr>
          <w:rFonts w:asciiTheme="majorHAnsi" w:eastAsia="Times New Roman" w:hAnsiTheme="majorHAnsi" w:cstheme="majorHAnsi"/>
          <w:color w:val="000000" w:themeColor="text1"/>
        </w:rPr>
        <w:t xml:space="preserve"> anche</w:t>
      </w:r>
      <w:r w:rsidRPr="00A67C58">
        <w:rPr>
          <w:rFonts w:asciiTheme="majorHAnsi" w:eastAsia="Times New Roman" w:hAnsiTheme="majorHAnsi" w:cstheme="majorHAnsi"/>
          <w:color w:val="000000" w:themeColor="text1"/>
        </w:rPr>
        <w:t xml:space="preserve"> le richieste di separati e divorziati, che rappresentano in media il 9,8%, e dei conviventi (3,7%). In aumento nella seconda metà dell’anno la domanda di vedovi che scelgono di cambiare casa richiedendo un mutuo (passata dal 1,1% nel secondo trimestre al 2,5% del quarto, con una media annuale che si attesta al 2,1%). </w:t>
      </w:r>
    </w:p>
    <w:p w14:paraId="7AAF23F0" w14:textId="77777777" w:rsidR="00324947" w:rsidRPr="00A67C58" w:rsidRDefault="00324947" w:rsidP="00955CB6">
      <w:pPr>
        <w:spacing w:line="276" w:lineRule="auto"/>
        <w:jc w:val="both"/>
        <w:rPr>
          <w:rFonts w:asciiTheme="majorHAnsi" w:eastAsia="Times New Roman" w:hAnsiTheme="majorHAnsi" w:cstheme="majorHAnsi"/>
          <w:color w:val="000000" w:themeColor="text1"/>
        </w:rPr>
      </w:pPr>
      <w:r w:rsidRPr="00A67C58">
        <w:rPr>
          <w:rFonts w:asciiTheme="majorHAnsi" w:eastAsia="Times New Roman" w:hAnsiTheme="majorHAnsi" w:cstheme="majorHAnsi"/>
          <w:color w:val="000000" w:themeColor="text1"/>
        </w:rPr>
        <w:t xml:space="preserve">Analizzando il panel per fasce d’età, i dati raccolti da 24MAX evidenziano </w:t>
      </w:r>
      <w:r w:rsidRPr="00A67C58">
        <w:rPr>
          <w:rFonts w:asciiTheme="majorHAnsi" w:eastAsia="Times New Roman" w:hAnsiTheme="majorHAnsi" w:cstheme="majorHAnsi"/>
          <w:b/>
          <w:bCs/>
          <w:color w:val="000000" w:themeColor="text1"/>
        </w:rPr>
        <w:t>nella fascia 35-44 anni il maggior numero di richiedenti (34,8%), seguita da quella dei giovani tra i 25 e i 34 anni</w:t>
      </w:r>
      <w:r w:rsidRPr="00A67C58">
        <w:rPr>
          <w:rFonts w:asciiTheme="majorHAnsi" w:eastAsia="Times New Roman" w:hAnsiTheme="majorHAnsi" w:cstheme="majorHAnsi"/>
          <w:color w:val="000000" w:themeColor="text1"/>
        </w:rPr>
        <w:t xml:space="preserve"> che rappresentano in media il </w:t>
      </w:r>
      <w:r w:rsidRPr="00A67C58">
        <w:rPr>
          <w:rFonts w:asciiTheme="majorHAnsi" w:eastAsia="Times New Roman" w:hAnsiTheme="majorHAnsi" w:cstheme="majorHAnsi"/>
          <w:b/>
          <w:bCs/>
          <w:color w:val="000000" w:themeColor="text1"/>
        </w:rPr>
        <w:t>25,1%</w:t>
      </w:r>
      <w:r w:rsidRPr="00A67C58">
        <w:rPr>
          <w:rFonts w:asciiTheme="majorHAnsi" w:eastAsia="Times New Roman" w:hAnsiTheme="majorHAnsi" w:cstheme="majorHAnsi"/>
          <w:color w:val="000000" w:themeColor="text1"/>
        </w:rPr>
        <w:t xml:space="preserve"> su base annua. Una piccola quota, seppur significativa (2,6%), si registra nella fascia d’età dei giovanissimi (18-24). Le altre richieste si dividono equamente tra le fasce 45-54 per il 18,6% e over 55 per il 18,9%. </w:t>
      </w:r>
    </w:p>
    <w:p w14:paraId="7F75B239" w14:textId="77777777" w:rsidR="00324947" w:rsidRPr="00A67C58" w:rsidRDefault="00324947" w:rsidP="00955CB6">
      <w:pPr>
        <w:spacing w:line="276" w:lineRule="auto"/>
        <w:jc w:val="both"/>
        <w:rPr>
          <w:rFonts w:asciiTheme="majorHAnsi" w:eastAsia="Times New Roman" w:hAnsiTheme="majorHAnsi" w:cstheme="majorHAnsi"/>
          <w:color w:val="000000" w:themeColor="text1"/>
        </w:rPr>
      </w:pPr>
      <w:r w:rsidRPr="00A67C58">
        <w:rPr>
          <w:rFonts w:asciiTheme="majorHAnsi" w:eastAsia="Times New Roman" w:hAnsiTheme="majorHAnsi" w:cstheme="majorHAnsi"/>
          <w:color w:val="000000" w:themeColor="text1"/>
        </w:rPr>
        <w:t xml:space="preserve">L’Ufficio Studi di 24MAX fornisce anche dati inerenti alla tipologia di </w:t>
      </w:r>
      <w:r w:rsidRPr="00A67C58">
        <w:rPr>
          <w:rFonts w:asciiTheme="majorHAnsi" w:eastAsia="Times New Roman" w:hAnsiTheme="majorHAnsi" w:cstheme="majorHAnsi"/>
          <w:b/>
          <w:bCs/>
          <w:color w:val="000000" w:themeColor="text1"/>
        </w:rPr>
        <w:t>contratto lavorativo</w:t>
      </w:r>
      <w:r w:rsidRPr="00A67C58">
        <w:rPr>
          <w:rFonts w:asciiTheme="majorHAnsi" w:eastAsia="Times New Roman" w:hAnsiTheme="majorHAnsi" w:cstheme="majorHAnsi"/>
          <w:color w:val="000000" w:themeColor="text1"/>
        </w:rPr>
        <w:t xml:space="preserve"> di chi ha richiesto un mutuo nel corso del 2021. La netta maggioranza (77,8%) sono lavoratori a tempo indeterminato, seguiti dalle partite IVA (8,4%), dai lavoratori a tempo determinato (7%) e dai pensionati (6,8%).</w:t>
      </w:r>
    </w:p>
    <w:p w14:paraId="6C4E696C" w14:textId="7B6EB5D5" w:rsidR="00324947" w:rsidRPr="00A67C58" w:rsidRDefault="00324947" w:rsidP="00955CB6">
      <w:pPr>
        <w:spacing w:line="276" w:lineRule="auto"/>
        <w:jc w:val="both"/>
        <w:rPr>
          <w:rFonts w:asciiTheme="majorHAnsi" w:eastAsia="Times New Roman" w:hAnsiTheme="majorHAnsi" w:cstheme="majorHAnsi"/>
          <w:color w:val="000000" w:themeColor="text1"/>
        </w:rPr>
      </w:pPr>
      <w:r w:rsidRPr="00A67C58">
        <w:rPr>
          <w:rFonts w:asciiTheme="majorHAnsi" w:eastAsia="Times New Roman" w:hAnsiTheme="majorHAnsi" w:cstheme="majorHAnsi"/>
          <w:color w:val="000000" w:themeColor="text1"/>
        </w:rPr>
        <w:t xml:space="preserve">Analizzando complessivamente le pratiche raccolte nel 2021, </w:t>
      </w:r>
      <w:r w:rsidRPr="00A67C58">
        <w:rPr>
          <w:rFonts w:asciiTheme="majorHAnsi" w:eastAsia="Times New Roman" w:hAnsiTheme="majorHAnsi" w:cstheme="majorHAnsi"/>
          <w:b/>
          <w:bCs/>
          <w:color w:val="000000" w:themeColor="text1"/>
        </w:rPr>
        <w:t>oltre il 97,2% si conferma destinato all’acquisto della prima casa</w:t>
      </w:r>
      <w:r w:rsidRPr="00A67C58">
        <w:rPr>
          <w:rFonts w:asciiTheme="majorHAnsi" w:eastAsia="Times New Roman" w:hAnsiTheme="majorHAnsi" w:cstheme="majorHAnsi"/>
          <w:color w:val="000000" w:themeColor="text1"/>
        </w:rPr>
        <w:t xml:space="preserve">, mentre i mutui richiesti per l’acquisto di una seconda casa rappresentano il 2,8%. </w:t>
      </w:r>
    </w:p>
    <w:p w14:paraId="559045B3" w14:textId="77777777" w:rsidR="00497C36" w:rsidRPr="00A67C58" w:rsidRDefault="00497C36" w:rsidP="00497C36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FF0000"/>
        </w:rPr>
      </w:pPr>
      <w:r w:rsidRPr="00A67C58">
        <w:rPr>
          <w:rFonts w:asciiTheme="majorHAnsi" w:eastAsia="Times New Roman" w:hAnsiTheme="majorHAnsi" w:cstheme="majorHAnsi"/>
          <w:b/>
          <w:bCs/>
          <w:color w:val="FF0000"/>
        </w:rPr>
        <w:t>IL TRANSATO DI 24MAX NEL 2021</w:t>
      </w:r>
    </w:p>
    <w:p w14:paraId="1ACECFC7" w14:textId="6B90FDCF" w:rsidR="00497C36" w:rsidRPr="00A67C58" w:rsidRDefault="00497C36" w:rsidP="00497C36">
      <w:pPr>
        <w:spacing w:line="276" w:lineRule="auto"/>
        <w:jc w:val="both"/>
        <w:rPr>
          <w:rFonts w:asciiTheme="majorHAnsi" w:hAnsiTheme="majorHAnsi"/>
          <w:bCs/>
        </w:rPr>
      </w:pPr>
      <w:r w:rsidRPr="00A67C58">
        <w:rPr>
          <w:rFonts w:asciiTheme="majorHAnsi" w:hAnsiTheme="majorHAnsi"/>
          <w:bCs/>
        </w:rPr>
        <w:t xml:space="preserve">Nel 2021 </w:t>
      </w:r>
      <w:r w:rsidRPr="00A67C58">
        <w:rPr>
          <w:rFonts w:asciiTheme="majorHAnsi" w:hAnsiTheme="majorHAnsi"/>
          <w:b/>
        </w:rPr>
        <w:t>l’intermediato di 24MAX è cresciuto del 61,3%, passando dagli 88 milioni di euro del 2020 a 142 milioni;</w:t>
      </w:r>
      <w:r w:rsidRPr="00A67C58">
        <w:rPr>
          <w:rFonts w:asciiTheme="majorHAnsi" w:hAnsiTheme="majorHAnsi"/>
          <w:bCs/>
        </w:rPr>
        <w:t xml:space="preserve"> parallelamente, la società ha messo a segno un sostanziale aumento del fatturato, pari all’82%, sfiorando quota 3,4 milioni di euro, con un </w:t>
      </w:r>
      <w:r w:rsidR="009A489D" w:rsidRPr="00A67C58">
        <w:rPr>
          <w:rFonts w:asciiTheme="majorHAnsi" w:hAnsiTheme="majorHAnsi"/>
          <w:bCs/>
        </w:rPr>
        <w:t xml:space="preserve">notevole </w:t>
      </w:r>
      <w:r w:rsidRPr="00A67C58">
        <w:rPr>
          <w:rFonts w:asciiTheme="majorHAnsi" w:hAnsiTheme="majorHAnsi"/>
          <w:bCs/>
        </w:rPr>
        <w:t xml:space="preserve">incremento dell’Ebitda. Lo scorso anno, </w:t>
      </w:r>
      <w:r w:rsidRPr="00A67C58">
        <w:rPr>
          <w:rFonts w:asciiTheme="majorHAnsi" w:hAnsiTheme="majorHAnsi"/>
          <w:bCs/>
        </w:rPr>
        <w:lastRenderedPageBreak/>
        <w:t xml:space="preserve">complessivamente, </w:t>
      </w:r>
      <w:r w:rsidRPr="00A67C58">
        <w:rPr>
          <w:rFonts w:asciiTheme="majorHAnsi" w:hAnsiTheme="majorHAnsi"/>
          <w:b/>
        </w:rPr>
        <w:t xml:space="preserve">le pratiche accese dai Credit </w:t>
      </w:r>
      <w:proofErr w:type="spellStart"/>
      <w:r w:rsidRPr="00A67C58">
        <w:rPr>
          <w:rFonts w:asciiTheme="majorHAnsi" w:hAnsiTheme="majorHAnsi"/>
          <w:b/>
        </w:rPr>
        <w:t>Specialist</w:t>
      </w:r>
      <w:proofErr w:type="spellEnd"/>
      <w:r w:rsidRPr="00A67C58">
        <w:rPr>
          <w:rFonts w:asciiTheme="majorHAnsi" w:hAnsiTheme="majorHAnsi"/>
          <w:b/>
        </w:rPr>
        <w:t xml:space="preserve"> di 24MAX sono state quasi 3.000, per un valore di circa 400 milioni di euro</w:t>
      </w:r>
      <w:r w:rsidRPr="00A67C58">
        <w:rPr>
          <w:rFonts w:asciiTheme="majorHAnsi" w:hAnsiTheme="majorHAnsi"/>
          <w:bCs/>
        </w:rPr>
        <w:t xml:space="preserve">, di cui 1.146 già erogate per </w:t>
      </w:r>
      <w:r w:rsidRPr="00A67C58">
        <w:rPr>
          <w:rFonts w:asciiTheme="majorHAnsi" w:hAnsiTheme="majorHAnsi"/>
          <w:b/>
        </w:rPr>
        <w:t>mutui dell’importo medio di € 129.943</w:t>
      </w:r>
      <w:r w:rsidRPr="00A67C58">
        <w:rPr>
          <w:rFonts w:asciiTheme="majorHAnsi" w:hAnsiTheme="majorHAnsi"/>
          <w:bCs/>
        </w:rPr>
        <w:t xml:space="preserve">. Contemporaneamente alla crescita della domanda di mutui, è aumentata anche la capillarità di 24MAX con l’ingresso di 30 nuovi mediatori che hanno portato il network a quota </w:t>
      </w:r>
      <w:r w:rsidRPr="00A67C58">
        <w:rPr>
          <w:rFonts w:asciiTheme="majorHAnsi" w:hAnsiTheme="majorHAnsi"/>
          <w:b/>
        </w:rPr>
        <w:t xml:space="preserve">102 Credit </w:t>
      </w:r>
      <w:proofErr w:type="spellStart"/>
      <w:r w:rsidRPr="00A67C58">
        <w:rPr>
          <w:rFonts w:asciiTheme="majorHAnsi" w:hAnsiTheme="majorHAnsi"/>
          <w:b/>
        </w:rPr>
        <w:t>Specialist</w:t>
      </w:r>
      <w:proofErr w:type="spellEnd"/>
      <w:r w:rsidRPr="00A67C58">
        <w:rPr>
          <w:rFonts w:asciiTheme="majorHAnsi" w:hAnsiTheme="majorHAnsi"/>
          <w:b/>
        </w:rPr>
        <w:t xml:space="preserve">, con l’obiettivo di raggiungere i 140 entro il 2022. </w:t>
      </w:r>
      <w:r w:rsidRPr="00A67C58">
        <w:rPr>
          <w:rFonts w:asciiTheme="majorHAnsi" w:hAnsiTheme="majorHAnsi"/>
          <w:bCs/>
        </w:rPr>
        <w:t>Per il biennio 2023-24 il piano industriale di 24MAX prevede l’ampliamento del business nei comparti dei prestiti e delle cessioni del quinto, con un occhio attento al mercato online.</w:t>
      </w:r>
    </w:p>
    <w:p w14:paraId="431DFFCD" w14:textId="77777777" w:rsidR="0030402A" w:rsidRPr="00A67C58" w:rsidRDefault="0030402A" w:rsidP="00955CB6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FF0000"/>
        </w:rPr>
      </w:pPr>
      <w:r w:rsidRPr="00A67C58">
        <w:rPr>
          <w:rFonts w:asciiTheme="majorHAnsi" w:eastAsia="Times New Roman" w:hAnsiTheme="majorHAnsi" w:cstheme="majorHAnsi"/>
          <w:b/>
          <w:bCs/>
          <w:color w:val="FF0000"/>
        </w:rPr>
        <w:t>PREVISIONI MERCATO CREDITIZIO PER IL 2022</w:t>
      </w:r>
    </w:p>
    <w:p w14:paraId="09A59888" w14:textId="01B00F73" w:rsidR="0030402A" w:rsidRPr="00A67C58" w:rsidRDefault="0030402A" w:rsidP="00955CB6">
      <w:pPr>
        <w:spacing w:line="276" w:lineRule="auto"/>
        <w:jc w:val="both"/>
        <w:rPr>
          <w:rFonts w:asciiTheme="majorHAnsi" w:hAnsiTheme="majorHAnsi" w:cs="Arial"/>
        </w:rPr>
      </w:pPr>
      <w:r w:rsidRPr="00A67C58">
        <w:rPr>
          <w:rFonts w:asciiTheme="majorHAnsi" w:hAnsiTheme="majorHAnsi" w:cs="Arial"/>
        </w:rPr>
        <w:t xml:space="preserve">Se a inizio anno lo scenario già inquinato dalla pandemia non faceva prevedere un rialzo dei tassi, ora lo scoppio del conflitto in Ucraina costringe a rivedere queste previsioni. </w:t>
      </w:r>
      <w:r w:rsidR="000A3B0F" w:rsidRPr="00A67C58">
        <w:rPr>
          <w:rFonts w:asciiTheme="majorHAnsi" w:hAnsiTheme="majorHAnsi" w:cs="Arial"/>
        </w:rPr>
        <w:t>“</w:t>
      </w:r>
      <w:r w:rsidRPr="00A67C58">
        <w:rPr>
          <w:rFonts w:asciiTheme="majorHAnsi" w:hAnsiTheme="majorHAnsi" w:cs="Arial"/>
          <w:i/>
          <w:iCs/>
        </w:rPr>
        <w:t>In quest</w:t>
      </w:r>
      <w:r w:rsidR="000A3B0F" w:rsidRPr="00A67C58">
        <w:rPr>
          <w:rFonts w:asciiTheme="majorHAnsi" w:hAnsiTheme="majorHAnsi" w:cs="Arial"/>
          <w:i/>
          <w:iCs/>
        </w:rPr>
        <w:t xml:space="preserve">a situazione </w:t>
      </w:r>
      <w:r w:rsidRPr="00A67C58">
        <w:rPr>
          <w:rFonts w:asciiTheme="majorHAnsi" w:hAnsiTheme="majorHAnsi" w:cs="Arial"/>
          <w:i/>
          <w:iCs/>
        </w:rPr>
        <w:t>di incertezza, per quanto riguarda i mutui, l’Euribor è ancora in negativo</w:t>
      </w:r>
      <w:r w:rsidR="000D31EA" w:rsidRPr="00A67C58">
        <w:rPr>
          <w:rFonts w:asciiTheme="majorHAnsi" w:hAnsiTheme="majorHAnsi" w:cs="Arial"/>
          <w:i/>
          <w:iCs/>
        </w:rPr>
        <w:t xml:space="preserve"> ma l’</w:t>
      </w:r>
      <w:proofErr w:type="spellStart"/>
      <w:r w:rsidR="000D31EA" w:rsidRPr="00A67C58">
        <w:rPr>
          <w:rFonts w:asciiTheme="majorHAnsi" w:hAnsiTheme="majorHAnsi" w:cs="Arial"/>
          <w:i/>
          <w:iCs/>
        </w:rPr>
        <w:t>Eurirs</w:t>
      </w:r>
      <w:proofErr w:type="spellEnd"/>
      <w:r w:rsidR="000D31EA" w:rsidRPr="00A67C58">
        <w:rPr>
          <w:rFonts w:asciiTheme="majorHAnsi" w:hAnsiTheme="majorHAnsi" w:cs="Arial"/>
          <w:i/>
          <w:iCs/>
        </w:rPr>
        <w:t xml:space="preserve"> che regola i tassi fissi è in aumento</w:t>
      </w:r>
      <w:r w:rsidRPr="00A67C58">
        <w:rPr>
          <w:rFonts w:asciiTheme="majorHAnsi" w:hAnsiTheme="majorHAnsi" w:cs="Arial"/>
          <w:i/>
          <w:iCs/>
        </w:rPr>
        <w:t xml:space="preserve">, </w:t>
      </w:r>
      <w:r w:rsidR="000D31EA" w:rsidRPr="00A67C58">
        <w:rPr>
          <w:rFonts w:asciiTheme="majorHAnsi" w:hAnsiTheme="majorHAnsi" w:cs="Arial"/>
          <w:i/>
          <w:iCs/>
        </w:rPr>
        <w:t>e</w:t>
      </w:r>
      <w:r w:rsidRPr="00A67C58">
        <w:rPr>
          <w:rFonts w:asciiTheme="majorHAnsi" w:hAnsiTheme="majorHAnsi" w:cs="Arial"/>
          <w:i/>
          <w:iCs/>
        </w:rPr>
        <w:t xml:space="preserve"> per il futuro sarà determinante l’andamento dell’inflazione</w:t>
      </w:r>
      <w:r w:rsidR="000A3B0F" w:rsidRPr="00A67C58">
        <w:rPr>
          <w:rFonts w:asciiTheme="majorHAnsi" w:hAnsiTheme="majorHAnsi" w:cs="Arial"/>
          <w:i/>
          <w:iCs/>
        </w:rPr>
        <w:t xml:space="preserve">. </w:t>
      </w:r>
      <w:r w:rsidRPr="00A67C58">
        <w:rPr>
          <w:rFonts w:asciiTheme="majorHAnsi" w:hAnsiTheme="majorHAnsi" w:cs="Arial"/>
          <w:i/>
          <w:iCs/>
        </w:rPr>
        <w:t xml:space="preserve">Se il livello attuale diventerà strutturale </w:t>
      </w:r>
      <w:r w:rsidR="000D31EA" w:rsidRPr="00A67C58">
        <w:rPr>
          <w:rFonts w:asciiTheme="majorHAnsi" w:hAnsiTheme="majorHAnsi" w:cs="Arial"/>
          <w:i/>
          <w:iCs/>
        </w:rPr>
        <w:t>potrebbe essere</w:t>
      </w:r>
      <w:r w:rsidRPr="00A67C58">
        <w:rPr>
          <w:rFonts w:asciiTheme="majorHAnsi" w:hAnsiTheme="majorHAnsi" w:cs="Arial"/>
          <w:i/>
          <w:iCs/>
        </w:rPr>
        <w:t xml:space="preserve"> inevitabile un intervento da parte della Bce sui tassi di interesse. E questo avrebbe un impatto diretto sulle rate dei</w:t>
      </w:r>
      <w:r w:rsidR="000A3B0F" w:rsidRPr="00A67C58">
        <w:rPr>
          <w:rFonts w:asciiTheme="majorHAnsi" w:hAnsiTheme="majorHAnsi" w:cs="Arial"/>
          <w:i/>
          <w:iCs/>
        </w:rPr>
        <w:t xml:space="preserve"> </w:t>
      </w:r>
      <w:r w:rsidRPr="00A67C58">
        <w:rPr>
          <w:rFonts w:asciiTheme="majorHAnsi" w:hAnsiTheme="majorHAnsi" w:cs="Arial"/>
          <w:i/>
          <w:iCs/>
        </w:rPr>
        <w:t>nuovi mutui</w:t>
      </w:r>
      <w:r w:rsidR="000A3B0F" w:rsidRPr="00A67C58">
        <w:rPr>
          <w:rFonts w:asciiTheme="majorHAnsi" w:hAnsiTheme="majorHAnsi" w:cs="Arial"/>
          <w:i/>
          <w:iCs/>
        </w:rPr>
        <w:t xml:space="preserve"> e</w:t>
      </w:r>
      <w:r w:rsidRPr="00A67C58">
        <w:rPr>
          <w:rFonts w:asciiTheme="majorHAnsi" w:hAnsiTheme="majorHAnsi" w:cs="Arial"/>
          <w:i/>
          <w:iCs/>
        </w:rPr>
        <w:t xml:space="preserve"> su quelli a tasso variabile</w:t>
      </w:r>
      <w:r w:rsidR="000A3B0F" w:rsidRPr="00A67C58">
        <w:rPr>
          <w:rFonts w:asciiTheme="majorHAnsi" w:hAnsiTheme="majorHAnsi" w:cs="Arial"/>
          <w:i/>
          <w:iCs/>
        </w:rPr>
        <w:t>,</w:t>
      </w:r>
      <w:r w:rsidRPr="00A67C58">
        <w:rPr>
          <w:rFonts w:asciiTheme="majorHAnsi" w:hAnsiTheme="majorHAnsi" w:cs="Arial"/>
          <w:i/>
          <w:iCs/>
        </w:rPr>
        <w:t xml:space="preserve"> mentre i fissi manterranno stabilità indipendentemente dagli eventi</w:t>
      </w:r>
      <w:r w:rsidR="000A3B0F" w:rsidRPr="00A67C58">
        <w:rPr>
          <w:rFonts w:asciiTheme="majorHAnsi" w:hAnsiTheme="majorHAnsi" w:cs="Arial"/>
        </w:rPr>
        <w:t>”, commenta Bernardi</w:t>
      </w:r>
      <w:r w:rsidRPr="00A67C58">
        <w:rPr>
          <w:rFonts w:asciiTheme="majorHAnsi" w:hAnsiTheme="majorHAnsi" w:cs="Arial"/>
        </w:rPr>
        <w:t>.</w:t>
      </w:r>
    </w:p>
    <w:p w14:paraId="019699F4" w14:textId="2B918A68" w:rsidR="000A3B0F" w:rsidRPr="00A67C58" w:rsidRDefault="000A3B0F" w:rsidP="00B6073E">
      <w:pPr>
        <w:spacing w:line="276" w:lineRule="auto"/>
        <w:jc w:val="both"/>
        <w:rPr>
          <w:rFonts w:asciiTheme="majorHAnsi" w:eastAsia="Times New Roman" w:hAnsiTheme="majorHAnsi" w:cs="Arial"/>
          <w:color w:val="000000"/>
        </w:rPr>
      </w:pPr>
      <w:r w:rsidRPr="00A67C58">
        <w:rPr>
          <w:rFonts w:asciiTheme="majorHAnsi" w:eastAsia="Times New Roman" w:hAnsiTheme="majorHAnsi" w:cs="Arial"/>
          <w:b/>
          <w:bCs/>
          <w:lang w:eastAsia="it-IT"/>
        </w:rPr>
        <w:t>Per chi intende acquistare casa è necessario fare attente valutazioni in merito alla tipologia di mutuo</w:t>
      </w:r>
      <w:r w:rsidRPr="00A67C58">
        <w:rPr>
          <w:rFonts w:asciiTheme="majorHAnsi" w:eastAsia="Times New Roman" w:hAnsiTheme="majorHAnsi" w:cs="Arial"/>
          <w:lang w:eastAsia="it-IT"/>
        </w:rPr>
        <w:t>. “</w:t>
      </w:r>
      <w:r w:rsidRPr="00A67C58">
        <w:rPr>
          <w:rFonts w:asciiTheme="majorHAnsi" w:eastAsia="Times New Roman" w:hAnsiTheme="majorHAnsi" w:cs="Arial"/>
          <w:i/>
          <w:iCs/>
          <w:lang w:eastAsia="it-IT"/>
        </w:rPr>
        <w:t xml:space="preserve">Se per i tassi variabili la situazione è ancora stabile, oggi </w:t>
      </w:r>
      <w:r w:rsidR="0030402A" w:rsidRPr="00A67C58">
        <w:rPr>
          <w:rFonts w:asciiTheme="majorHAnsi" w:eastAsia="Times New Roman" w:hAnsiTheme="majorHAnsi" w:cs="Arial"/>
          <w:i/>
          <w:iCs/>
          <w:lang w:eastAsia="it-IT"/>
        </w:rPr>
        <w:t xml:space="preserve">i mutui a tasso fisso </w:t>
      </w:r>
      <w:r w:rsidRPr="00A67C58">
        <w:rPr>
          <w:rFonts w:asciiTheme="majorHAnsi" w:eastAsia="Times New Roman" w:hAnsiTheme="majorHAnsi" w:cs="Arial"/>
          <w:i/>
          <w:iCs/>
          <w:lang w:eastAsia="it-IT"/>
        </w:rPr>
        <w:t>sono già</w:t>
      </w:r>
      <w:r w:rsidR="0030402A" w:rsidRPr="00A67C58">
        <w:rPr>
          <w:rFonts w:asciiTheme="majorHAnsi" w:eastAsia="Times New Roman" w:hAnsiTheme="majorHAnsi" w:cs="Arial"/>
          <w:i/>
          <w:iCs/>
          <w:lang w:eastAsia="it-IT"/>
        </w:rPr>
        <w:t xml:space="preserve"> più costosi di quanto non fossero un anno fa</w:t>
      </w:r>
      <w:r w:rsidRPr="00A67C58">
        <w:rPr>
          <w:rFonts w:asciiTheme="majorHAnsi" w:eastAsia="Times New Roman" w:hAnsiTheme="majorHAnsi" w:cs="Arial"/>
          <w:i/>
          <w:iCs/>
          <w:lang w:eastAsia="it-IT"/>
        </w:rPr>
        <w:t>, ma ancora a livelli bassi, destinati però a crescer</w:t>
      </w:r>
      <w:r w:rsidR="00955CB6" w:rsidRPr="00A67C58">
        <w:rPr>
          <w:rFonts w:asciiTheme="majorHAnsi" w:eastAsia="Times New Roman" w:hAnsiTheme="majorHAnsi" w:cs="Arial"/>
          <w:i/>
          <w:iCs/>
          <w:lang w:eastAsia="it-IT"/>
        </w:rPr>
        <w:t>e. I</w:t>
      </w:r>
      <w:r w:rsidR="00955CB6" w:rsidRPr="00A67C58">
        <w:rPr>
          <w:rFonts w:asciiTheme="majorHAnsi" w:eastAsia="Times New Roman" w:hAnsiTheme="majorHAnsi" w:cs="Arial"/>
          <w:i/>
          <w:iCs/>
          <w:color w:val="000000"/>
        </w:rPr>
        <w:t>n generale anche per il 2022, potremmo prevedere una preferenza degli italiani per il tasso fisso, anche se potrebbe essere interessante iniziare a fare simulazioni su eventuali tassi variabili con rate protette</w:t>
      </w:r>
      <w:r w:rsidR="00955CB6" w:rsidRPr="00A67C58">
        <w:rPr>
          <w:rFonts w:asciiTheme="majorHAnsi" w:eastAsia="Times New Roman" w:hAnsiTheme="majorHAnsi" w:cs="Arial"/>
          <w:lang w:eastAsia="it-IT"/>
        </w:rPr>
        <w:t xml:space="preserve">”. In questo contesto, oggi più che mai, la consulenza di un mediatore creditizio come i </w:t>
      </w:r>
      <w:r w:rsidR="00AB462F" w:rsidRPr="00A67C58">
        <w:rPr>
          <w:rFonts w:asciiTheme="majorHAnsi" w:eastAsia="Times New Roman" w:hAnsiTheme="majorHAnsi" w:cs="Arial"/>
          <w:lang w:eastAsia="it-IT"/>
        </w:rPr>
        <w:t>C</w:t>
      </w:r>
      <w:r w:rsidR="00955CB6" w:rsidRPr="00A67C58">
        <w:rPr>
          <w:rFonts w:asciiTheme="majorHAnsi" w:eastAsia="Times New Roman" w:hAnsiTheme="majorHAnsi" w:cs="Arial"/>
          <w:lang w:eastAsia="it-IT"/>
        </w:rPr>
        <w:t xml:space="preserve">redit </w:t>
      </w:r>
      <w:proofErr w:type="spellStart"/>
      <w:r w:rsidR="00AB462F" w:rsidRPr="00A67C58">
        <w:rPr>
          <w:rFonts w:asciiTheme="majorHAnsi" w:eastAsia="Times New Roman" w:hAnsiTheme="majorHAnsi" w:cs="Arial"/>
          <w:lang w:eastAsia="it-IT"/>
        </w:rPr>
        <w:t>S</w:t>
      </w:r>
      <w:r w:rsidR="00955CB6" w:rsidRPr="00A67C58">
        <w:rPr>
          <w:rFonts w:asciiTheme="majorHAnsi" w:eastAsia="Times New Roman" w:hAnsiTheme="majorHAnsi" w:cs="Arial"/>
          <w:lang w:eastAsia="it-IT"/>
        </w:rPr>
        <w:t>pecialist</w:t>
      </w:r>
      <w:proofErr w:type="spellEnd"/>
      <w:r w:rsidR="00955CB6" w:rsidRPr="00A67C58">
        <w:rPr>
          <w:rFonts w:asciiTheme="majorHAnsi" w:eastAsia="Times New Roman" w:hAnsiTheme="majorHAnsi" w:cs="Arial"/>
          <w:lang w:eastAsia="it-IT"/>
        </w:rPr>
        <w:t xml:space="preserve"> di 24MAX</w:t>
      </w:r>
      <w:r w:rsidR="00AB462F" w:rsidRPr="00A67C58">
        <w:rPr>
          <w:rFonts w:asciiTheme="majorHAnsi" w:eastAsia="Times New Roman" w:hAnsiTheme="majorHAnsi" w:cs="Arial"/>
          <w:lang w:eastAsia="it-IT"/>
        </w:rPr>
        <w:t>,</w:t>
      </w:r>
      <w:r w:rsidR="00955CB6" w:rsidRPr="00A67C58">
        <w:rPr>
          <w:rFonts w:asciiTheme="majorHAnsi" w:eastAsia="Times New Roman" w:hAnsiTheme="majorHAnsi" w:cs="Arial"/>
          <w:lang w:eastAsia="it-IT"/>
        </w:rPr>
        <w:t xml:space="preserve"> operativi presso le agenzie immobiliari RE/MAX, sarà sempre più determinante per una scelta a lungo periodo come un mutuo che mediamente ha una durata di 20-25 anni.</w:t>
      </w:r>
      <w:r w:rsidR="00B6073E" w:rsidRPr="00A67C58">
        <w:rPr>
          <w:rFonts w:asciiTheme="majorHAnsi" w:eastAsia="Times New Roman" w:hAnsiTheme="majorHAnsi" w:cs="Arial"/>
          <w:lang w:eastAsia="it-IT"/>
        </w:rPr>
        <w:t xml:space="preserve"> </w:t>
      </w:r>
      <w:r w:rsidRPr="00A67C58">
        <w:rPr>
          <w:rFonts w:asciiTheme="majorHAnsi" w:hAnsiTheme="majorHAnsi" w:cs="Arial"/>
          <w:color w:val="000000"/>
        </w:rPr>
        <w:t>Secondo 24MAX già prima dello scoppio della guerra in Ucraina era</w:t>
      </w:r>
      <w:r w:rsidRPr="00A67C58">
        <w:rPr>
          <w:rFonts w:asciiTheme="majorHAnsi" w:eastAsia="Times New Roman" w:hAnsiTheme="majorHAnsi" w:cs="Arial"/>
          <w:color w:val="000000"/>
        </w:rPr>
        <w:t xml:space="preserve"> molto difficile fare previsioni per il 2022 per via della pandemia, che potrebbe continuare a condizionare tutti i comparti economici, dalla macroeconomia all’economia reale delle singole famiglie. A ciò ora si </w:t>
      </w:r>
      <w:r w:rsidR="00AB462F" w:rsidRPr="00A67C58">
        <w:rPr>
          <w:rFonts w:asciiTheme="majorHAnsi" w:eastAsia="Times New Roman" w:hAnsiTheme="majorHAnsi" w:cs="Arial"/>
          <w:color w:val="000000"/>
        </w:rPr>
        <w:t>somma</w:t>
      </w:r>
      <w:r w:rsidRPr="00A67C58">
        <w:rPr>
          <w:rFonts w:asciiTheme="majorHAnsi" w:eastAsia="Times New Roman" w:hAnsiTheme="majorHAnsi" w:cs="Arial"/>
          <w:color w:val="000000"/>
        </w:rPr>
        <w:t xml:space="preserve"> il conflitto ucraino che </w:t>
      </w:r>
      <w:r w:rsidR="00AB462F" w:rsidRPr="00A67C58">
        <w:rPr>
          <w:rFonts w:asciiTheme="majorHAnsi" w:eastAsia="Times New Roman" w:hAnsiTheme="majorHAnsi" w:cs="Arial"/>
          <w:color w:val="000000"/>
        </w:rPr>
        <w:t>aggiunge</w:t>
      </w:r>
      <w:r w:rsidRPr="00A67C58">
        <w:rPr>
          <w:rFonts w:asciiTheme="majorHAnsi" w:eastAsia="Times New Roman" w:hAnsiTheme="majorHAnsi" w:cs="Arial"/>
          <w:color w:val="000000"/>
        </w:rPr>
        <w:t xml:space="preserve"> incertezza ad una eventuale crescita economica prevista dagli esperti.</w:t>
      </w:r>
    </w:p>
    <w:p w14:paraId="1D4221AB" w14:textId="44BB1030" w:rsidR="0030402A" w:rsidRPr="00A67C58" w:rsidRDefault="000A3B0F" w:rsidP="00955CB6">
      <w:pPr>
        <w:shd w:val="clear" w:color="auto" w:fill="FFFFFF"/>
        <w:spacing w:line="276" w:lineRule="auto"/>
        <w:jc w:val="both"/>
        <w:rPr>
          <w:rFonts w:asciiTheme="majorHAnsi" w:eastAsia="Times New Roman" w:hAnsiTheme="majorHAnsi" w:cs="Arial"/>
          <w:i/>
          <w:iCs/>
          <w:color w:val="000000"/>
        </w:rPr>
      </w:pPr>
      <w:r w:rsidRPr="00A67C58">
        <w:rPr>
          <w:rFonts w:asciiTheme="majorHAnsi" w:eastAsia="Times New Roman" w:hAnsiTheme="majorHAnsi" w:cs="Arial"/>
          <w:color w:val="000000"/>
        </w:rPr>
        <w:t>Negli ultimi mesi il mercato immobiliare si è confermato effervescente e il sentiment delle 4</w:t>
      </w:r>
      <w:r w:rsidR="00652D41" w:rsidRPr="00A67C58">
        <w:rPr>
          <w:rFonts w:asciiTheme="majorHAnsi" w:eastAsia="Times New Roman" w:hAnsiTheme="majorHAnsi" w:cs="Arial"/>
          <w:color w:val="000000"/>
        </w:rPr>
        <w:t>5</w:t>
      </w:r>
      <w:r w:rsidRPr="00A67C58">
        <w:rPr>
          <w:rFonts w:asciiTheme="majorHAnsi" w:eastAsia="Times New Roman" w:hAnsiTheme="majorHAnsi" w:cs="Arial"/>
          <w:color w:val="000000"/>
        </w:rPr>
        <w:t>0 agenzie RE/MAX in Italia al momento non rileva un calo della domanda di immobili e quindi di mutui. “</w:t>
      </w:r>
      <w:r w:rsidR="00396EE9" w:rsidRPr="00A67C58">
        <w:rPr>
          <w:rFonts w:asciiTheme="majorHAnsi" w:eastAsia="Times New Roman" w:hAnsiTheme="majorHAnsi" w:cs="Arial"/>
          <w:i/>
          <w:iCs/>
          <w:color w:val="000000"/>
        </w:rPr>
        <w:t>L’andamento oscillante</w:t>
      </w:r>
      <w:r w:rsidRPr="00A67C58">
        <w:rPr>
          <w:rFonts w:asciiTheme="majorHAnsi" w:eastAsia="Times New Roman" w:hAnsiTheme="majorHAnsi" w:cs="Arial"/>
          <w:i/>
          <w:iCs/>
          <w:color w:val="000000"/>
        </w:rPr>
        <w:t xml:space="preserve"> delle borse </w:t>
      </w:r>
      <w:r w:rsidR="00396EE9" w:rsidRPr="00A67C58">
        <w:rPr>
          <w:rFonts w:asciiTheme="majorHAnsi" w:eastAsia="Times New Roman" w:hAnsiTheme="majorHAnsi" w:cs="Arial"/>
          <w:i/>
          <w:iCs/>
          <w:color w:val="000000"/>
        </w:rPr>
        <w:t>nelle ultime settimane</w:t>
      </w:r>
      <w:r w:rsidRPr="00A67C58">
        <w:rPr>
          <w:rFonts w:asciiTheme="majorHAnsi" w:eastAsia="Times New Roman" w:hAnsiTheme="majorHAnsi" w:cs="Arial"/>
          <w:i/>
          <w:iCs/>
          <w:color w:val="000000"/>
        </w:rPr>
        <w:t xml:space="preserve"> potrebbe far spostare capitali dal mobiliare all’immobiliare considerato storicamente fonte di maggiore stabilità</w:t>
      </w:r>
      <w:r w:rsidR="00955CB6" w:rsidRPr="00A67C58">
        <w:rPr>
          <w:rFonts w:asciiTheme="majorHAnsi" w:eastAsia="Times New Roman" w:hAnsiTheme="majorHAnsi" w:cs="Arial"/>
          <w:color w:val="000000"/>
        </w:rPr>
        <w:t xml:space="preserve">”, commenta </w:t>
      </w:r>
      <w:r w:rsidR="00955CB6" w:rsidRPr="00A67C58">
        <w:rPr>
          <w:rFonts w:asciiTheme="majorHAnsi" w:eastAsia="Times New Roman" w:hAnsiTheme="majorHAnsi" w:cs="Arial"/>
          <w:b/>
          <w:bCs/>
          <w:color w:val="000000"/>
        </w:rPr>
        <w:t>Marco Boidi,</w:t>
      </w:r>
      <w:r w:rsidR="00955CB6" w:rsidRPr="00A67C58">
        <w:rPr>
          <w:rFonts w:asciiTheme="majorHAnsi" w:eastAsia="Times New Roman" w:hAnsiTheme="majorHAnsi" w:cs="Arial"/>
          <w:color w:val="000000"/>
        </w:rPr>
        <w:t xml:space="preserve"> </w:t>
      </w:r>
      <w:r w:rsidR="00955CB6" w:rsidRPr="00A67C58">
        <w:rPr>
          <w:rFonts w:asciiTheme="majorHAnsi" w:eastAsia="Times New Roman" w:hAnsiTheme="majorHAnsi" w:cstheme="majorHAnsi"/>
          <w:b/>
          <w:bCs/>
          <w:color w:val="000000" w:themeColor="text1"/>
        </w:rPr>
        <w:t>Head of Sales Network di 24MAX. “</w:t>
      </w:r>
      <w:r w:rsidR="0030402A" w:rsidRPr="00A67C58">
        <w:rPr>
          <w:rFonts w:asciiTheme="majorHAnsi" w:eastAsia="Times New Roman" w:hAnsiTheme="majorHAnsi" w:cs="Arial"/>
          <w:i/>
          <w:iCs/>
          <w:color w:val="000000"/>
        </w:rPr>
        <w:t>Il mondo delle banche è sicuramente propenso a proseguire anche nel 2022 con l’erogazione di mutui su volumi simili al 2021 e tutte le banche convenzionate con 24MAX</w:t>
      </w:r>
      <w:r w:rsidR="00955CB6" w:rsidRPr="00A67C58">
        <w:rPr>
          <w:rFonts w:asciiTheme="majorHAnsi" w:eastAsia="Times New Roman" w:hAnsiTheme="majorHAnsi" w:cs="Arial"/>
          <w:i/>
          <w:iCs/>
          <w:color w:val="000000"/>
        </w:rPr>
        <w:t>, al momento,</w:t>
      </w:r>
      <w:r w:rsidR="0030402A" w:rsidRPr="00A67C58">
        <w:rPr>
          <w:rFonts w:asciiTheme="majorHAnsi" w:eastAsia="Times New Roman" w:hAnsiTheme="majorHAnsi" w:cs="Arial"/>
          <w:i/>
          <w:iCs/>
          <w:color w:val="000000"/>
        </w:rPr>
        <w:t xml:space="preserve"> hanno confermato i budget per il 2022</w:t>
      </w:r>
      <w:r w:rsidR="00DD6BB8" w:rsidRPr="00A67C58">
        <w:rPr>
          <w:rFonts w:asciiTheme="majorHAnsi" w:eastAsia="Times New Roman" w:hAnsiTheme="majorHAnsi" w:cs="Arial"/>
          <w:i/>
          <w:iCs/>
          <w:color w:val="000000"/>
        </w:rPr>
        <w:t>”</w:t>
      </w:r>
      <w:r w:rsidR="0030402A" w:rsidRPr="00A67C58">
        <w:rPr>
          <w:rFonts w:asciiTheme="majorHAnsi" w:eastAsia="Times New Roman" w:hAnsiTheme="majorHAnsi" w:cs="Arial"/>
          <w:i/>
          <w:iCs/>
          <w:color w:val="000000"/>
        </w:rPr>
        <w:t xml:space="preserve">. </w:t>
      </w:r>
    </w:p>
    <w:p w14:paraId="6BF1D809" w14:textId="784AE58F" w:rsidR="005B1E8C" w:rsidRPr="00A67C58" w:rsidRDefault="005B1E8C" w:rsidP="00955CB6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FF0000"/>
        </w:rPr>
      </w:pPr>
      <w:r w:rsidRPr="00A67C58">
        <w:rPr>
          <w:rFonts w:asciiTheme="majorHAnsi" w:eastAsia="Times New Roman" w:hAnsiTheme="majorHAnsi" w:cstheme="majorHAnsi"/>
          <w:b/>
          <w:bCs/>
          <w:color w:val="FF0000"/>
        </w:rPr>
        <w:t>SCENARIO ECONOMICO</w:t>
      </w:r>
    </w:p>
    <w:p w14:paraId="0F3AFC47" w14:textId="6BCD8549" w:rsidR="00080BE6" w:rsidRPr="00A67C58" w:rsidRDefault="001033ED" w:rsidP="00955CB6">
      <w:pPr>
        <w:spacing w:line="276" w:lineRule="auto"/>
        <w:jc w:val="both"/>
        <w:rPr>
          <w:rFonts w:asciiTheme="majorHAnsi" w:hAnsiTheme="majorHAnsi" w:cs="Arial"/>
          <w:color w:val="000000" w:themeColor="text1"/>
        </w:rPr>
      </w:pPr>
      <w:r w:rsidRPr="00A67C58">
        <w:rPr>
          <w:rFonts w:asciiTheme="majorHAnsi" w:hAnsiTheme="majorHAnsi"/>
          <w:color w:val="000000" w:themeColor="text1"/>
        </w:rPr>
        <w:t xml:space="preserve">Seppur ancora condizionato dall’andamento della pandemia e delle campagne vaccinali, </w:t>
      </w:r>
      <w:r w:rsidRPr="00A67C58">
        <w:rPr>
          <w:rFonts w:asciiTheme="majorHAnsi" w:hAnsiTheme="majorHAnsi" w:cs="Arial"/>
          <w:color w:val="000000" w:themeColor="text1"/>
        </w:rPr>
        <w:t>il</w:t>
      </w:r>
      <w:r w:rsidR="00080BE6" w:rsidRPr="00A67C58">
        <w:rPr>
          <w:rFonts w:asciiTheme="majorHAnsi" w:hAnsiTheme="majorHAnsi" w:cs="Arial"/>
          <w:color w:val="000000" w:themeColor="text1"/>
        </w:rPr>
        <w:t xml:space="preserve"> 2021 è stato </w:t>
      </w:r>
      <w:r w:rsidRPr="00A67C58">
        <w:rPr>
          <w:rFonts w:asciiTheme="majorHAnsi" w:hAnsiTheme="majorHAnsi" w:cs="Arial"/>
          <w:color w:val="000000" w:themeColor="text1"/>
        </w:rPr>
        <w:t xml:space="preserve">a livello globale un anno </w:t>
      </w:r>
      <w:r w:rsidR="004E36A3" w:rsidRPr="00A67C58">
        <w:rPr>
          <w:rFonts w:asciiTheme="majorHAnsi" w:hAnsiTheme="majorHAnsi" w:cs="Arial"/>
          <w:color w:val="000000" w:themeColor="text1"/>
        </w:rPr>
        <w:t xml:space="preserve">di ripresa economica, </w:t>
      </w:r>
      <w:r w:rsidR="00080BE6" w:rsidRPr="00A67C58">
        <w:rPr>
          <w:rFonts w:asciiTheme="majorHAnsi" w:hAnsiTheme="majorHAnsi" w:cs="Arial"/>
          <w:color w:val="000000" w:themeColor="text1"/>
        </w:rPr>
        <w:t xml:space="preserve">positivo </w:t>
      </w:r>
      <w:r w:rsidR="004E36A3" w:rsidRPr="00A67C58">
        <w:rPr>
          <w:rFonts w:asciiTheme="majorHAnsi" w:hAnsiTheme="majorHAnsi" w:cs="Arial"/>
          <w:color w:val="000000" w:themeColor="text1"/>
        </w:rPr>
        <w:t xml:space="preserve">anche </w:t>
      </w:r>
      <w:r w:rsidR="00080BE6" w:rsidRPr="00A67C58">
        <w:rPr>
          <w:rFonts w:asciiTheme="majorHAnsi" w:hAnsiTheme="majorHAnsi" w:cs="Arial"/>
          <w:color w:val="000000" w:themeColor="text1"/>
        </w:rPr>
        <w:t>per il mercato immobiliare e creditizio</w:t>
      </w:r>
      <w:r w:rsidR="004E36A3" w:rsidRPr="00A67C58">
        <w:rPr>
          <w:rFonts w:asciiTheme="majorHAnsi" w:hAnsiTheme="majorHAnsi" w:cs="Arial"/>
          <w:color w:val="000000" w:themeColor="text1"/>
        </w:rPr>
        <w:t xml:space="preserve">. Negli </w:t>
      </w:r>
      <w:r w:rsidRPr="00A67C58">
        <w:rPr>
          <w:rFonts w:asciiTheme="majorHAnsi" w:hAnsiTheme="majorHAnsi" w:cs="Arial"/>
          <w:color w:val="000000" w:themeColor="text1"/>
        </w:rPr>
        <w:t xml:space="preserve">ultimi </w:t>
      </w:r>
      <w:r w:rsidR="004E36A3" w:rsidRPr="00A67C58">
        <w:rPr>
          <w:rFonts w:asciiTheme="majorHAnsi" w:hAnsiTheme="majorHAnsi" w:cs="Arial"/>
          <w:color w:val="000000" w:themeColor="text1"/>
        </w:rPr>
        <w:t>mesi</w:t>
      </w:r>
      <w:r w:rsidRPr="00A67C58">
        <w:rPr>
          <w:rFonts w:asciiTheme="majorHAnsi" w:hAnsiTheme="majorHAnsi" w:cs="Arial"/>
          <w:color w:val="000000" w:themeColor="text1"/>
        </w:rPr>
        <w:t xml:space="preserve">, però, tutta </w:t>
      </w:r>
      <w:r w:rsidR="00080BE6" w:rsidRPr="00A67C58">
        <w:rPr>
          <w:rFonts w:asciiTheme="majorHAnsi" w:hAnsiTheme="majorHAnsi" w:cs="Arial"/>
          <w:color w:val="000000" w:themeColor="text1"/>
        </w:rPr>
        <w:t>Europa è alle prese con</w:t>
      </w:r>
      <w:r w:rsidR="00D53A07" w:rsidRPr="00A67C58">
        <w:rPr>
          <w:rFonts w:asciiTheme="majorHAnsi" w:hAnsiTheme="majorHAnsi" w:cs="Arial"/>
          <w:color w:val="000000" w:themeColor="text1"/>
        </w:rPr>
        <w:t xml:space="preserve"> </w:t>
      </w:r>
      <w:r w:rsidR="00080BE6" w:rsidRPr="00A67C58">
        <w:rPr>
          <w:rFonts w:asciiTheme="majorHAnsi" w:hAnsiTheme="majorHAnsi" w:cs="Arial"/>
          <w:color w:val="000000" w:themeColor="text1"/>
        </w:rPr>
        <w:t xml:space="preserve">l’aumento dell’inflazione, determinato in larga parte dal rincaro del prezzo dell’energia, e </w:t>
      </w:r>
      <w:r w:rsidR="004E36A3" w:rsidRPr="00A67C58">
        <w:rPr>
          <w:rFonts w:asciiTheme="majorHAnsi" w:hAnsiTheme="majorHAnsi" w:cs="Arial"/>
          <w:color w:val="000000" w:themeColor="text1"/>
        </w:rPr>
        <w:t xml:space="preserve">ulteriormente aggravato dal conflitto </w:t>
      </w:r>
      <w:r w:rsidR="00080BE6" w:rsidRPr="00A67C58">
        <w:rPr>
          <w:rFonts w:asciiTheme="majorHAnsi" w:hAnsiTheme="majorHAnsi" w:cs="Arial"/>
          <w:color w:val="000000" w:themeColor="text1"/>
        </w:rPr>
        <w:t xml:space="preserve">Russia </w:t>
      </w:r>
      <w:r w:rsidR="004E36A3" w:rsidRPr="00A67C58">
        <w:rPr>
          <w:rFonts w:asciiTheme="majorHAnsi" w:hAnsiTheme="majorHAnsi" w:cs="Arial"/>
          <w:color w:val="000000" w:themeColor="text1"/>
        </w:rPr>
        <w:t xml:space="preserve">– </w:t>
      </w:r>
      <w:r w:rsidR="00080BE6" w:rsidRPr="00A67C58">
        <w:rPr>
          <w:rFonts w:asciiTheme="majorHAnsi" w:hAnsiTheme="majorHAnsi" w:cs="Arial"/>
          <w:color w:val="000000" w:themeColor="text1"/>
        </w:rPr>
        <w:t>Ucrain</w:t>
      </w:r>
      <w:r w:rsidR="004E36A3" w:rsidRPr="00A67C58">
        <w:rPr>
          <w:rFonts w:asciiTheme="majorHAnsi" w:hAnsiTheme="majorHAnsi" w:cs="Arial"/>
          <w:color w:val="000000" w:themeColor="text1"/>
        </w:rPr>
        <w:t>a.</w:t>
      </w:r>
    </w:p>
    <w:p w14:paraId="110F1648" w14:textId="4700C78B" w:rsidR="00006085" w:rsidRPr="00A67C58" w:rsidRDefault="00080BE6" w:rsidP="00955CB6">
      <w:pPr>
        <w:spacing w:after="0" w:line="276" w:lineRule="auto"/>
        <w:jc w:val="both"/>
        <w:rPr>
          <w:rFonts w:asciiTheme="majorHAnsi" w:hAnsiTheme="majorHAnsi"/>
          <w:color w:val="000000" w:themeColor="text1"/>
        </w:rPr>
      </w:pPr>
      <w:r w:rsidRPr="00A67C58">
        <w:rPr>
          <w:rFonts w:asciiTheme="majorHAnsi" w:eastAsia="Times New Roman" w:hAnsiTheme="majorHAnsi" w:cs="Arial"/>
          <w:color w:val="000000" w:themeColor="text1"/>
          <w:lang w:eastAsia="it-IT"/>
        </w:rPr>
        <w:t xml:space="preserve">La crescita </w:t>
      </w:r>
      <w:r w:rsidR="004E36A3" w:rsidRPr="00A67C58">
        <w:rPr>
          <w:rFonts w:asciiTheme="majorHAnsi" w:eastAsia="Times New Roman" w:hAnsiTheme="majorHAnsi" w:cs="Arial"/>
          <w:color w:val="000000" w:themeColor="text1"/>
          <w:lang w:eastAsia="it-IT"/>
        </w:rPr>
        <w:t xml:space="preserve">del PIL </w:t>
      </w:r>
      <w:r w:rsidRPr="00A67C58">
        <w:rPr>
          <w:rFonts w:asciiTheme="majorHAnsi" w:eastAsia="Times New Roman" w:hAnsiTheme="majorHAnsi" w:cs="Arial"/>
          <w:color w:val="000000" w:themeColor="text1"/>
          <w:lang w:eastAsia="it-IT"/>
        </w:rPr>
        <w:t>in Italia</w:t>
      </w:r>
      <w:r w:rsidR="001033ED" w:rsidRPr="00A67C58">
        <w:rPr>
          <w:rFonts w:asciiTheme="majorHAnsi" w:hAnsiTheme="majorHAnsi" w:cs="Arial"/>
          <w:color w:val="000000" w:themeColor="text1"/>
        </w:rPr>
        <w:t>, ben</w:t>
      </w:r>
      <w:r w:rsidR="0030402A" w:rsidRPr="00A67C58">
        <w:rPr>
          <w:rFonts w:asciiTheme="majorHAnsi" w:hAnsiTheme="majorHAnsi" w:cs="Arial"/>
          <w:color w:val="000000" w:themeColor="text1"/>
        </w:rPr>
        <w:t xml:space="preserve"> </w:t>
      </w:r>
      <w:r w:rsidR="001033ED" w:rsidRPr="00A67C58">
        <w:rPr>
          <w:rFonts w:asciiTheme="majorHAnsi" w:eastAsia="Times New Roman" w:hAnsiTheme="majorHAnsi" w:cs="Times New Roman"/>
          <w:b/>
          <w:bCs/>
          <w:color w:val="000000" w:themeColor="text1"/>
          <w:lang w:eastAsia="it-IT"/>
        </w:rPr>
        <w:t>superiore alle attese,</w:t>
      </w:r>
      <w:r w:rsidR="001033ED" w:rsidRPr="00A67C58">
        <w:rPr>
          <w:rFonts w:asciiTheme="majorHAnsi" w:hAnsiTheme="majorHAnsi" w:cs="Arial"/>
          <w:color w:val="000000" w:themeColor="text1"/>
        </w:rPr>
        <w:t xml:space="preserve"> </w:t>
      </w:r>
      <w:r w:rsidRPr="00A67C58">
        <w:rPr>
          <w:rFonts w:asciiTheme="majorHAnsi" w:eastAsia="Times New Roman" w:hAnsiTheme="majorHAnsi" w:cs="Arial"/>
          <w:color w:val="000000" w:themeColor="text1"/>
          <w:lang w:eastAsia="it-IT"/>
        </w:rPr>
        <w:t xml:space="preserve">è rimasta elevata </w:t>
      </w:r>
      <w:r w:rsidR="004E36A3" w:rsidRPr="00A67C58">
        <w:rPr>
          <w:rFonts w:asciiTheme="majorHAnsi" w:eastAsia="Times New Roman" w:hAnsiTheme="majorHAnsi" w:cs="Arial"/>
          <w:color w:val="000000" w:themeColor="text1"/>
          <w:lang w:eastAsia="it-IT"/>
        </w:rPr>
        <w:t>fino al</w:t>
      </w:r>
      <w:r w:rsidRPr="00A67C58">
        <w:rPr>
          <w:rFonts w:asciiTheme="majorHAnsi" w:eastAsia="Times New Roman" w:hAnsiTheme="majorHAnsi" w:cs="Arial"/>
          <w:color w:val="000000" w:themeColor="text1"/>
          <w:lang w:eastAsia="it-IT"/>
        </w:rPr>
        <w:t xml:space="preserve"> terzo trimestre 2021,</w:t>
      </w:r>
      <w:r w:rsidR="004E36A3" w:rsidRPr="00A67C58">
        <w:rPr>
          <w:rFonts w:asciiTheme="majorHAnsi" w:eastAsia="Times New Roman" w:hAnsiTheme="majorHAnsi" w:cs="Arial"/>
          <w:color w:val="000000" w:themeColor="text1"/>
          <w:lang w:eastAsia="it-IT"/>
        </w:rPr>
        <w:t xml:space="preserve"> per poi rallentare nell’ultima parte dell’anno, iniziando a ev</w:t>
      </w:r>
      <w:r w:rsidR="001033ED" w:rsidRPr="00A67C58">
        <w:rPr>
          <w:rFonts w:asciiTheme="majorHAnsi" w:hAnsiTheme="majorHAnsi" w:cs="Arial"/>
          <w:color w:val="000000" w:themeColor="text1"/>
        </w:rPr>
        <w:t>i</w:t>
      </w:r>
      <w:r w:rsidR="004E36A3" w:rsidRPr="00A67C58">
        <w:rPr>
          <w:rFonts w:asciiTheme="majorHAnsi" w:eastAsia="Times New Roman" w:hAnsiTheme="majorHAnsi" w:cs="Arial"/>
          <w:color w:val="000000" w:themeColor="text1"/>
          <w:lang w:eastAsia="it-IT"/>
        </w:rPr>
        <w:t>denziare i primi segnali di decelerazione degli investimenti da parte delle</w:t>
      </w:r>
      <w:r w:rsidRPr="00A67C58">
        <w:rPr>
          <w:rFonts w:asciiTheme="majorHAnsi" w:eastAsia="Times New Roman" w:hAnsiTheme="majorHAnsi" w:cs="Arial"/>
          <w:color w:val="000000" w:themeColor="text1"/>
          <w:lang w:eastAsia="it-IT"/>
        </w:rPr>
        <w:t xml:space="preserve"> imprese</w:t>
      </w:r>
      <w:r w:rsidR="001033ED" w:rsidRPr="00A67C58">
        <w:rPr>
          <w:rFonts w:asciiTheme="majorHAnsi" w:hAnsiTheme="majorHAnsi" w:cs="Arial"/>
          <w:color w:val="000000" w:themeColor="text1"/>
        </w:rPr>
        <w:t xml:space="preserve">. </w:t>
      </w:r>
      <w:r w:rsidR="00B965E1" w:rsidRPr="00A67C58">
        <w:rPr>
          <w:rFonts w:asciiTheme="majorHAnsi" w:hAnsiTheme="majorHAnsi"/>
          <w:color w:val="000000" w:themeColor="text1"/>
        </w:rPr>
        <w:t xml:space="preserve">Dinamismo anche sul fronte </w:t>
      </w:r>
      <w:r w:rsidR="001033ED" w:rsidRPr="00A67C58">
        <w:rPr>
          <w:rFonts w:asciiTheme="majorHAnsi" w:hAnsiTheme="majorHAnsi"/>
          <w:color w:val="000000" w:themeColor="text1"/>
        </w:rPr>
        <w:t>occupazionale</w:t>
      </w:r>
      <w:r w:rsidR="00C43B69" w:rsidRPr="00A67C58">
        <w:rPr>
          <w:rFonts w:asciiTheme="majorHAnsi" w:hAnsiTheme="majorHAnsi"/>
          <w:color w:val="000000" w:themeColor="text1"/>
        </w:rPr>
        <w:t>,</w:t>
      </w:r>
      <w:r w:rsidR="00B965E1" w:rsidRPr="00A67C58">
        <w:rPr>
          <w:rFonts w:asciiTheme="majorHAnsi" w:hAnsiTheme="majorHAnsi"/>
          <w:color w:val="000000" w:themeColor="text1"/>
        </w:rPr>
        <w:t xml:space="preserve"> </w:t>
      </w:r>
      <w:r w:rsidR="007236E0" w:rsidRPr="00A67C58">
        <w:rPr>
          <w:rFonts w:asciiTheme="majorHAnsi" w:hAnsiTheme="majorHAnsi"/>
          <w:color w:val="000000" w:themeColor="text1"/>
        </w:rPr>
        <w:t>che segna</w:t>
      </w:r>
      <w:r w:rsidR="00B965E1" w:rsidRPr="00A67C58">
        <w:rPr>
          <w:rFonts w:asciiTheme="majorHAnsi" w:hAnsiTheme="majorHAnsi"/>
          <w:color w:val="000000" w:themeColor="text1"/>
        </w:rPr>
        <w:t xml:space="preserve"> un complessivo incremento dei lavoratori. </w:t>
      </w:r>
      <w:r w:rsidR="000C2794" w:rsidRPr="00A67C58">
        <w:rPr>
          <w:rFonts w:asciiTheme="majorHAnsi" w:hAnsiTheme="majorHAnsi"/>
          <w:color w:val="000000" w:themeColor="text1"/>
        </w:rPr>
        <w:t>In generale</w:t>
      </w:r>
      <w:r w:rsidR="00C43B69" w:rsidRPr="00A67C58">
        <w:rPr>
          <w:rFonts w:asciiTheme="majorHAnsi" w:hAnsiTheme="majorHAnsi"/>
          <w:color w:val="000000" w:themeColor="text1"/>
        </w:rPr>
        <w:t>,</w:t>
      </w:r>
      <w:r w:rsidR="000C2794" w:rsidRPr="00A67C58">
        <w:rPr>
          <w:rFonts w:asciiTheme="majorHAnsi" w:hAnsiTheme="majorHAnsi"/>
          <w:color w:val="000000" w:themeColor="text1"/>
        </w:rPr>
        <w:t xml:space="preserve"> </w:t>
      </w:r>
      <w:r w:rsidR="00C43B69" w:rsidRPr="00A67C58">
        <w:rPr>
          <w:rFonts w:asciiTheme="majorHAnsi" w:hAnsiTheme="majorHAnsi"/>
          <w:color w:val="000000" w:themeColor="text1"/>
        </w:rPr>
        <w:t>si rileva</w:t>
      </w:r>
      <w:r w:rsidR="000C2794" w:rsidRPr="00A67C58">
        <w:rPr>
          <w:rFonts w:asciiTheme="majorHAnsi" w:hAnsiTheme="majorHAnsi"/>
          <w:color w:val="000000" w:themeColor="text1"/>
        </w:rPr>
        <w:t xml:space="preserve"> una </w:t>
      </w:r>
      <w:r w:rsidR="000C2794" w:rsidRPr="00A67C58">
        <w:rPr>
          <w:rFonts w:asciiTheme="majorHAnsi" w:hAnsiTheme="majorHAnsi"/>
          <w:b/>
          <w:bCs/>
          <w:color w:val="000000" w:themeColor="text1"/>
        </w:rPr>
        <w:t>maggiore propensione al consumo</w:t>
      </w:r>
      <w:r w:rsidR="007236E0" w:rsidRPr="00A67C58">
        <w:rPr>
          <w:rFonts w:asciiTheme="majorHAnsi" w:hAnsiTheme="majorHAnsi"/>
          <w:b/>
          <w:bCs/>
          <w:color w:val="000000" w:themeColor="text1"/>
        </w:rPr>
        <w:t xml:space="preserve"> da parte delle famiglie</w:t>
      </w:r>
      <w:r w:rsidR="00F45F99" w:rsidRPr="00A67C58">
        <w:rPr>
          <w:rFonts w:asciiTheme="majorHAnsi" w:hAnsiTheme="majorHAnsi"/>
          <w:color w:val="000000" w:themeColor="text1"/>
        </w:rPr>
        <w:t>,</w:t>
      </w:r>
      <w:r w:rsidR="000C2794" w:rsidRPr="00A67C58">
        <w:rPr>
          <w:rFonts w:asciiTheme="majorHAnsi" w:hAnsiTheme="majorHAnsi"/>
          <w:color w:val="000000" w:themeColor="text1"/>
        </w:rPr>
        <w:t xml:space="preserve"> </w:t>
      </w:r>
      <w:r w:rsidR="00F45F99" w:rsidRPr="00A67C58">
        <w:rPr>
          <w:rFonts w:asciiTheme="majorHAnsi" w:hAnsiTheme="majorHAnsi"/>
          <w:color w:val="000000" w:themeColor="text1"/>
        </w:rPr>
        <w:t>seppur</w:t>
      </w:r>
      <w:r w:rsidR="000C2794" w:rsidRPr="00A67C58">
        <w:rPr>
          <w:rFonts w:asciiTheme="majorHAnsi" w:hAnsiTheme="majorHAnsi"/>
          <w:color w:val="000000" w:themeColor="text1"/>
        </w:rPr>
        <w:t xml:space="preserve"> </w:t>
      </w:r>
      <w:r w:rsidR="00C43B69" w:rsidRPr="00A67C58">
        <w:rPr>
          <w:rFonts w:asciiTheme="majorHAnsi" w:hAnsiTheme="majorHAnsi"/>
          <w:color w:val="000000" w:themeColor="text1"/>
        </w:rPr>
        <w:t xml:space="preserve">ancora </w:t>
      </w:r>
      <w:r w:rsidR="00F45F99" w:rsidRPr="00A67C58">
        <w:rPr>
          <w:rFonts w:asciiTheme="majorHAnsi" w:hAnsiTheme="majorHAnsi"/>
          <w:color w:val="000000" w:themeColor="text1"/>
        </w:rPr>
        <w:t xml:space="preserve">a livelli </w:t>
      </w:r>
      <w:r w:rsidR="000C2794" w:rsidRPr="00A67C58">
        <w:rPr>
          <w:rFonts w:asciiTheme="majorHAnsi" w:hAnsiTheme="majorHAnsi"/>
          <w:color w:val="000000" w:themeColor="text1"/>
        </w:rPr>
        <w:t>prudenziali</w:t>
      </w:r>
      <w:r w:rsidR="00C43B69" w:rsidRPr="00A67C58">
        <w:rPr>
          <w:rFonts w:asciiTheme="majorHAnsi" w:hAnsiTheme="majorHAnsi"/>
          <w:color w:val="000000" w:themeColor="text1"/>
        </w:rPr>
        <w:t>.</w:t>
      </w:r>
      <w:r w:rsidR="00B965E1" w:rsidRPr="00A67C58">
        <w:rPr>
          <w:rFonts w:asciiTheme="majorHAnsi" w:hAnsiTheme="majorHAnsi"/>
          <w:color w:val="000000" w:themeColor="text1"/>
        </w:rPr>
        <w:t xml:space="preserve"> </w:t>
      </w:r>
    </w:p>
    <w:p w14:paraId="718D0620" w14:textId="77777777" w:rsidR="003F55A1" w:rsidRPr="00A67C58" w:rsidRDefault="003F55A1" w:rsidP="00955CB6">
      <w:pPr>
        <w:spacing w:after="0" w:line="276" w:lineRule="auto"/>
        <w:jc w:val="both"/>
        <w:rPr>
          <w:rFonts w:asciiTheme="majorHAnsi" w:hAnsiTheme="majorHAnsi"/>
        </w:rPr>
      </w:pPr>
    </w:p>
    <w:p w14:paraId="5EF93E4B" w14:textId="34F19CE6" w:rsidR="005B1E8C" w:rsidRPr="00A67C58" w:rsidRDefault="005B1E8C" w:rsidP="00955CB6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FF0000"/>
        </w:rPr>
      </w:pPr>
      <w:r w:rsidRPr="00A67C58">
        <w:rPr>
          <w:rFonts w:asciiTheme="majorHAnsi" w:eastAsia="Times New Roman" w:hAnsiTheme="majorHAnsi" w:cstheme="majorHAnsi"/>
          <w:b/>
          <w:bCs/>
          <w:color w:val="FF0000"/>
        </w:rPr>
        <w:lastRenderedPageBreak/>
        <w:t xml:space="preserve">ANDAMENTO MERCATO IMMOBILIARE RESIDENZIALE 2021 E PREVISIONI </w:t>
      </w:r>
      <w:r w:rsidR="008E0CF5" w:rsidRPr="00A67C58">
        <w:rPr>
          <w:rFonts w:asciiTheme="majorHAnsi" w:eastAsia="Times New Roman" w:hAnsiTheme="majorHAnsi" w:cstheme="majorHAnsi"/>
          <w:b/>
          <w:bCs/>
          <w:color w:val="FF0000"/>
        </w:rPr>
        <w:t>2022</w:t>
      </w:r>
    </w:p>
    <w:p w14:paraId="5D96E870" w14:textId="556BB1CC" w:rsidR="00C81E5B" w:rsidRPr="00A67C58" w:rsidRDefault="00C81E5B" w:rsidP="00955CB6">
      <w:pPr>
        <w:spacing w:line="276" w:lineRule="auto"/>
        <w:jc w:val="both"/>
        <w:rPr>
          <w:rFonts w:asciiTheme="majorHAnsi" w:hAnsiTheme="majorHAnsi"/>
        </w:rPr>
      </w:pPr>
      <w:r w:rsidRPr="00A67C58">
        <w:rPr>
          <w:rFonts w:asciiTheme="majorHAnsi" w:hAnsiTheme="majorHAnsi"/>
        </w:rPr>
        <w:t xml:space="preserve">Il 2021 è stato contraddistinto da una </w:t>
      </w:r>
      <w:r w:rsidRPr="00A67C58">
        <w:rPr>
          <w:rFonts w:asciiTheme="majorHAnsi" w:hAnsiTheme="majorHAnsi"/>
          <w:b/>
          <w:bCs/>
        </w:rPr>
        <w:t>forte ripresa del mercato immobiliare</w:t>
      </w:r>
      <w:r w:rsidRPr="00A67C58">
        <w:rPr>
          <w:rFonts w:asciiTheme="majorHAnsi" w:hAnsiTheme="majorHAnsi"/>
        </w:rPr>
        <w:t xml:space="preserve">, così come non si vedeva da tanti anni. Secondo le analisi di transato elaborate dal </w:t>
      </w:r>
      <w:r w:rsidR="001811E5" w:rsidRPr="00A67C58">
        <w:rPr>
          <w:rFonts w:asciiTheme="majorHAnsi" w:hAnsiTheme="majorHAnsi"/>
          <w:b/>
          <w:bCs/>
        </w:rPr>
        <w:t>Centro Studi di RE/MAX Italia</w:t>
      </w:r>
      <w:r w:rsidR="001811E5" w:rsidRPr="00A67C58">
        <w:rPr>
          <w:rFonts w:asciiTheme="majorHAnsi" w:hAnsiTheme="majorHAnsi"/>
        </w:rPr>
        <w:t xml:space="preserve">, si è tornati alla ciclicità storica del </w:t>
      </w:r>
      <w:proofErr w:type="spellStart"/>
      <w:r w:rsidR="001811E5" w:rsidRPr="00A67C58">
        <w:rPr>
          <w:rFonts w:asciiTheme="majorHAnsi" w:hAnsiTheme="majorHAnsi"/>
        </w:rPr>
        <w:t>real</w:t>
      </w:r>
      <w:proofErr w:type="spellEnd"/>
      <w:r w:rsidR="001811E5" w:rsidRPr="00A67C58">
        <w:rPr>
          <w:rFonts w:asciiTheme="majorHAnsi" w:hAnsiTheme="majorHAnsi"/>
        </w:rPr>
        <w:t xml:space="preserve"> estate, con un fisiologico livellamento tra i quarter. </w:t>
      </w:r>
      <w:r w:rsidR="001811E5" w:rsidRPr="00A67C58">
        <w:rPr>
          <w:rFonts w:asciiTheme="majorHAnsi" w:hAnsiTheme="majorHAnsi"/>
          <w:b/>
          <w:bCs/>
        </w:rPr>
        <w:t>Lombardia con Milano e Lazio con Roma si sono confermati motori trainanti del mercato immobiliare italiano</w:t>
      </w:r>
      <w:r w:rsidR="001811E5" w:rsidRPr="00A67C58">
        <w:rPr>
          <w:rFonts w:asciiTheme="majorHAnsi" w:hAnsiTheme="majorHAnsi"/>
        </w:rPr>
        <w:t xml:space="preserve">. </w:t>
      </w:r>
      <w:r w:rsidR="001811E5" w:rsidRPr="00A67C58">
        <w:rPr>
          <w:rFonts w:asciiTheme="majorHAnsi" w:hAnsiTheme="majorHAnsi"/>
          <w:b/>
          <w:bCs/>
        </w:rPr>
        <w:t>La domanda si è riversata fuori dalle grandi città</w:t>
      </w:r>
      <w:r w:rsidR="001811E5" w:rsidRPr="00A67C58">
        <w:rPr>
          <w:rFonts w:asciiTheme="majorHAnsi" w:hAnsiTheme="majorHAnsi"/>
        </w:rPr>
        <w:t xml:space="preserve"> dove i costi sono inferior</w:t>
      </w:r>
      <w:r w:rsidRPr="00A67C58">
        <w:rPr>
          <w:rFonts w:asciiTheme="majorHAnsi" w:hAnsiTheme="majorHAnsi"/>
        </w:rPr>
        <w:t>i</w:t>
      </w:r>
      <w:r w:rsidR="00937DF6" w:rsidRPr="00A67C58">
        <w:rPr>
          <w:rFonts w:asciiTheme="majorHAnsi" w:hAnsiTheme="majorHAnsi"/>
        </w:rPr>
        <w:t xml:space="preserve"> e le case rispondono alle nuove esigenze abitative</w:t>
      </w:r>
      <w:r w:rsidR="00937DF6" w:rsidRPr="00A67C58" w:rsidDel="00C81E5B">
        <w:rPr>
          <w:rFonts w:asciiTheme="majorHAnsi" w:hAnsiTheme="majorHAnsi"/>
        </w:rPr>
        <w:t xml:space="preserve"> </w:t>
      </w:r>
      <w:r w:rsidR="00937DF6" w:rsidRPr="00A67C58">
        <w:rPr>
          <w:rFonts w:asciiTheme="majorHAnsi" w:hAnsiTheme="majorHAnsi"/>
        </w:rPr>
        <w:t>derivanti dalla pandemia</w:t>
      </w:r>
      <w:r w:rsidR="00D53A07" w:rsidRPr="00A67C58">
        <w:rPr>
          <w:rFonts w:asciiTheme="majorHAnsi" w:hAnsiTheme="majorHAnsi"/>
        </w:rPr>
        <w:t xml:space="preserve">. </w:t>
      </w:r>
    </w:p>
    <w:p w14:paraId="7BD6650A" w14:textId="7CDD59A6" w:rsidR="00937DF6" w:rsidRPr="00A67C58" w:rsidRDefault="00C81E5B" w:rsidP="00955CB6">
      <w:pPr>
        <w:spacing w:after="0" w:line="276" w:lineRule="auto"/>
        <w:jc w:val="both"/>
        <w:rPr>
          <w:rFonts w:asciiTheme="majorHAnsi" w:hAnsiTheme="majorHAnsi"/>
        </w:rPr>
      </w:pPr>
      <w:r w:rsidRPr="00A67C58">
        <w:rPr>
          <w:rFonts w:asciiTheme="majorHAnsi" w:hAnsiTheme="majorHAnsi"/>
        </w:rPr>
        <w:t>“</w:t>
      </w:r>
      <w:r w:rsidRPr="00A67C58">
        <w:rPr>
          <w:rFonts w:asciiTheme="majorHAnsi" w:hAnsiTheme="majorHAnsi"/>
          <w:i/>
          <w:iCs/>
        </w:rPr>
        <w:t xml:space="preserve">Il 2022 sarà </w:t>
      </w:r>
      <w:r w:rsidR="00937DF6" w:rsidRPr="00A67C58">
        <w:rPr>
          <w:rFonts w:asciiTheme="majorHAnsi" w:hAnsiTheme="majorHAnsi"/>
          <w:i/>
          <w:iCs/>
        </w:rPr>
        <w:t xml:space="preserve">contraddistinto da diversi fenomeni </w:t>
      </w:r>
      <w:r w:rsidR="00D53A07" w:rsidRPr="00A67C58">
        <w:rPr>
          <w:rFonts w:asciiTheme="majorHAnsi" w:hAnsiTheme="majorHAnsi"/>
          <w:i/>
          <w:iCs/>
        </w:rPr>
        <w:t>tra</w:t>
      </w:r>
      <w:r w:rsidR="00937DF6" w:rsidRPr="00A67C58">
        <w:rPr>
          <w:rFonts w:asciiTheme="majorHAnsi" w:hAnsiTheme="majorHAnsi"/>
          <w:i/>
          <w:iCs/>
        </w:rPr>
        <w:t xml:space="preserve"> cui la ‘</w:t>
      </w:r>
      <w:r w:rsidR="001811E5" w:rsidRPr="00A67C58">
        <w:rPr>
          <w:rFonts w:asciiTheme="majorHAnsi" w:hAnsiTheme="majorHAnsi"/>
          <w:b/>
          <w:bCs/>
          <w:i/>
          <w:iCs/>
        </w:rPr>
        <w:t>rivincita dei piccoli comuni</w:t>
      </w:r>
      <w:r w:rsidR="001811E5" w:rsidRPr="00A67C58">
        <w:rPr>
          <w:rFonts w:asciiTheme="majorHAnsi" w:hAnsiTheme="majorHAnsi"/>
          <w:i/>
          <w:iCs/>
        </w:rPr>
        <w:t>’, capaci di offrire il miglior rapporto comfort abitativo/prezzo</w:t>
      </w:r>
      <w:r w:rsidR="00D53A07" w:rsidRPr="00A67C58">
        <w:rPr>
          <w:rFonts w:asciiTheme="majorHAnsi" w:hAnsiTheme="majorHAnsi"/>
          <w:i/>
          <w:iCs/>
        </w:rPr>
        <w:t>;</w:t>
      </w:r>
      <w:r w:rsidR="00937DF6" w:rsidRPr="00A67C58">
        <w:rPr>
          <w:rFonts w:asciiTheme="majorHAnsi" w:hAnsiTheme="majorHAnsi"/>
          <w:i/>
          <w:iCs/>
        </w:rPr>
        <w:t xml:space="preserve"> una carenza</w:t>
      </w:r>
      <w:r w:rsidR="001811E5" w:rsidRPr="00A67C58">
        <w:rPr>
          <w:rFonts w:asciiTheme="majorHAnsi" w:hAnsiTheme="majorHAnsi"/>
          <w:i/>
          <w:iCs/>
        </w:rPr>
        <w:t xml:space="preserve"> di offerta che verrà via via compensata dall’immissione sul mercato di immobili ‘fermi’ a causa dei deprezzamenti degli anni passati</w:t>
      </w:r>
      <w:r w:rsidR="00D53A07" w:rsidRPr="00A67C58">
        <w:rPr>
          <w:rFonts w:asciiTheme="majorHAnsi" w:hAnsiTheme="majorHAnsi"/>
          <w:i/>
          <w:iCs/>
        </w:rPr>
        <w:t xml:space="preserve">; </w:t>
      </w:r>
      <w:r w:rsidR="001811E5" w:rsidRPr="00A67C58">
        <w:rPr>
          <w:rFonts w:asciiTheme="majorHAnsi" w:hAnsiTheme="majorHAnsi"/>
          <w:b/>
          <w:bCs/>
          <w:i/>
          <w:iCs/>
        </w:rPr>
        <w:t>l’efficientamento energetico di vecchi edifici</w:t>
      </w:r>
      <w:r w:rsidR="001811E5" w:rsidRPr="00A67C58">
        <w:rPr>
          <w:rFonts w:asciiTheme="majorHAnsi" w:hAnsiTheme="majorHAnsi"/>
          <w:i/>
          <w:iCs/>
        </w:rPr>
        <w:t xml:space="preserve">, </w:t>
      </w:r>
      <w:r w:rsidR="00937DF6" w:rsidRPr="00A67C58">
        <w:rPr>
          <w:rFonts w:asciiTheme="majorHAnsi" w:hAnsiTheme="majorHAnsi"/>
          <w:i/>
          <w:iCs/>
        </w:rPr>
        <w:t xml:space="preserve">che rende </w:t>
      </w:r>
      <w:r w:rsidR="001811E5" w:rsidRPr="00A67C58">
        <w:rPr>
          <w:rFonts w:asciiTheme="majorHAnsi" w:hAnsiTheme="majorHAnsi"/>
          <w:i/>
          <w:iCs/>
        </w:rPr>
        <w:t>gli immobili da ristrutturare più appetibili anche in ottica di investimento, a fronte del significativo aumento del costo dell’energia e dell’inflazione</w:t>
      </w:r>
      <w:r w:rsidR="00937DF6" w:rsidRPr="00A67C58">
        <w:rPr>
          <w:rFonts w:asciiTheme="majorHAnsi" w:hAnsiTheme="majorHAnsi"/>
        </w:rPr>
        <w:t>”, spiega Dario Castiglia- Ceo &amp; Founder di RE/MAX Italia</w:t>
      </w:r>
      <w:r w:rsidR="001811E5" w:rsidRPr="00A67C58">
        <w:rPr>
          <w:rFonts w:asciiTheme="majorHAnsi" w:hAnsiTheme="majorHAnsi"/>
        </w:rPr>
        <w:t xml:space="preserve">. </w:t>
      </w:r>
      <w:r w:rsidR="00937DF6" w:rsidRPr="00A67C58">
        <w:rPr>
          <w:rFonts w:asciiTheme="majorHAnsi" w:hAnsiTheme="majorHAnsi"/>
        </w:rPr>
        <w:t>A queste considerazioni si aggiunte il fatto che gli immobili siano da sempre considerati un</w:t>
      </w:r>
      <w:r w:rsidR="001811E5" w:rsidRPr="00A67C58">
        <w:rPr>
          <w:rFonts w:asciiTheme="majorHAnsi" w:hAnsiTheme="majorHAnsi"/>
          <w:b/>
          <w:bCs/>
          <w:i/>
          <w:iCs/>
        </w:rPr>
        <w:t xml:space="preserve"> </w:t>
      </w:r>
      <w:r w:rsidR="001811E5" w:rsidRPr="00A67C58">
        <w:rPr>
          <w:rFonts w:asciiTheme="majorHAnsi" w:hAnsiTheme="majorHAnsi"/>
          <w:b/>
          <w:bCs/>
        </w:rPr>
        <w:t>argine nei confronti dell’inflazione</w:t>
      </w:r>
      <w:r w:rsidR="001811E5" w:rsidRPr="00A67C58">
        <w:rPr>
          <w:rFonts w:asciiTheme="majorHAnsi" w:hAnsiTheme="majorHAnsi"/>
        </w:rPr>
        <w:t>, spingendo ad investire nel mattone, ritenuto storicamente bene rifugio</w:t>
      </w:r>
      <w:r w:rsidR="00937DF6" w:rsidRPr="00A67C58">
        <w:rPr>
          <w:rFonts w:asciiTheme="majorHAnsi" w:hAnsiTheme="majorHAnsi"/>
        </w:rPr>
        <w:t>.</w:t>
      </w:r>
    </w:p>
    <w:p w14:paraId="0E437254" w14:textId="77777777" w:rsidR="000A3B0F" w:rsidRPr="00A67C58" w:rsidRDefault="000A3B0F" w:rsidP="00955CB6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FF0000"/>
        </w:rPr>
      </w:pPr>
    </w:p>
    <w:p w14:paraId="77446C0A" w14:textId="5CF7173D" w:rsidR="005602D1" w:rsidRPr="00A67C58" w:rsidRDefault="005602D1" w:rsidP="00955CB6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FF0000"/>
        </w:rPr>
      </w:pPr>
      <w:r w:rsidRPr="00A67C58">
        <w:rPr>
          <w:rFonts w:asciiTheme="majorHAnsi" w:eastAsia="Times New Roman" w:hAnsiTheme="majorHAnsi" w:cstheme="majorHAnsi"/>
          <w:b/>
          <w:bCs/>
          <w:color w:val="FF0000"/>
        </w:rPr>
        <w:t>NETWORK BANCHE AFFILIATE A 24MAX</w:t>
      </w:r>
    </w:p>
    <w:p w14:paraId="0C14F9B0" w14:textId="23F61C35" w:rsidR="005602D1" w:rsidRPr="00A67C58" w:rsidRDefault="00896A1C" w:rsidP="00955CB6">
      <w:pPr>
        <w:spacing w:line="276" w:lineRule="auto"/>
        <w:jc w:val="both"/>
        <w:rPr>
          <w:rFonts w:asciiTheme="majorHAnsi" w:eastAsia="Times New Roman" w:hAnsiTheme="majorHAnsi" w:cstheme="majorHAnsi"/>
          <w:color w:val="000000" w:themeColor="text1"/>
        </w:rPr>
      </w:pPr>
      <w:r w:rsidRPr="00A67C58">
        <w:rPr>
          <w:rFonts w:asciiTheme="majorHAnsi" w:hAnsiTheme="majorHAnsi"/>
        </w:rPr>
        <w:t>Ad oggi, s</w:t>
      </w:r>
      <w:r w:rsidR="009C1FE7" w:rsidRPr="00A67C58">
        <w:rPr>
          <w:rFonts w:asciiTheme="majorHAnsi" w:eastAsia="Times New Roman" w:hAnsiTheme="majorHAnsi" w:cstheme="majorHAnsi"/>
          <w:color w:val="000000" w:themeColor="text1"/>
        </w:rPr>
        <w:t xml:space="preserve">ono </w:t>
      </w:r>
      <w:r w:rsidR="00F841F8" w:rsidRPr="00A67C58">
        <w:rPr>
          <w:rFonts w:asciiTheme="majorHAnsi" w:eastAsia="Times New Roman" w:hAnsiTheme="majorHAnsi" w:cstheme="majorHAnsi"/>
          <w:color w:val="000000" w:themeColor="text1"/>
        </w:rPr>
        <w:t xml:space="preserve">21 </w:t>
      </w:r>
      <w:r w:rsidR="00584747" w:rsidRPr="00A67C58">
        <w:rPr>
          <w:rFonts w:asciiTheme="majorHAnsi" w:eastAsia="Times New Roman" w:hAnsiTheme="majorHAnsi" w:cstheme="majorHAnsi"/>
          <w:color w:val="000000" w:themeColor="text1"/>
        </w:rPr>
        <w:t>g</w:t>
      </w:r>
      <w:r w:rsidR="005602D1" w:rsidRPr="00A67C58">
        <w:rPr>
          <w:rFonts w:asciiTheme="majorHAnsi" w:eastAsia="Times New Roman" w:hAnsiTheme="majorHAnsi" w:cstheme="majorHAnsi"/>
          <w:color w:val="000000" w:themeColor="text1"/>
        </w:rPr>
        <w:t xml:space="preserve">li accordi </w:t>
      </w:r>
      <w:r w:rsidR="00237C31" w:rsidRPr="00A67C58">
        <w:rPr>
          <w:rFonts w:asciiTheme="majorHAnsi" w:eastAsia="Times New Roman" w:hAnsiTheme="majorHAnsi" w:cstheme="majorHAnsi"/>
          <w:color w:val="000000" w:themeColor="text1"/>
        </w:rPr>
        <w:t xml:space="preserve">bancari </w:t>
      </w:r>
      <w:r w:rsidR="005602D1" w:rsidRPr="00A67C58">
        <w:rPr>
          <w:rFonts w:asciiTheme="majorHAnsi" w:eastAsia="Times New Roman" w:hAnsiTheme="majorHAnsi" w:cstheme="majorHAnsi"/>
          <w:color w:val="000000" w:themeColor="text1"/>
        </w:rPr>
        <w:t xml:space="preserve">in vigore </w:t>
      </w:r>
      <w:r w:rsidR="00584747" w:rsidRPr="00A67C58">
        <w:rPr>
          <w:rFonts w:asciiTheme="majorHAnsi" w:eastAsia="Times New Roman" w:hAnsiTheme="majorHAnsi" w:cstheme="majorHAnsi"/>
          <w:color w:val="000000" w:themeColor="text1"/>
        </w:rPr>
        <w:t>tra 24MAX e</w:t>
      </w:r>
      <w:r w:rsidR="005602D1" w:rsidRPr="00A67C58">
        <w:rPr>
          <w:rFonts w:asciiTheme="majorHAnsi" w:eastAsia="Times New Roman" w:hAnsiTheme="majorHAnsi" w:cstheme="majorHAnsi"/>
          <w:color w:val="000000" w:themeColor="text1"/>
        </w:rPr>
        <w:t xml:space="preserve"> i seguenti istituti di credito: Agos Ducato S.p.A., Banca di Credito Cooperativo di Roma, Banca Credito Valtellinese S.p.A., Banca Nazionale del Lavoro S.p.A., Banca Progetto S.p.A., </w:t>
      </w:r>
      <w:proofErr w:type="spellStart"/>
      <w:r w:rsidR="005602D1" w:rsidRPr="00A67C58">
        <w:rPr>
          <w:rFonts w:asciiTheme="majorHAnsi" w:eastAsia="Times New Roman" w:hAnsiTheme="majorHAnsi" w:cstheme="majorHAnsi"/>
          <w:color w:val="000000" w:themeColor="text1"/>
        </w:rPr>
        <w:t>BiverBanca</w:t>
      </w:r>
      <w:proofErr w:type="spellEnd"/>
      <w:r w:rsidR="005602D1" w:rsidRPr="00A67C58">
        <w:rPr>
          <w:rFonts w:asciiTheme="majorHAnsi" w:eastAsia="Times New Roman" w:hAnsiTheme="majorHAnsi" w:cstheme="majorHAnsi"/>
          <w:color w:val="000000" w:themeColor="text1"/>
        </w:rPr>
        <w:t xml:space="preserve"> S.p.A., Cassa di Risparmio di Asti S.p.A., CheBanca! S.p.A., </w:t>
      </w:r>
      <w:proofErr w:type="spellStart"/>
      <w:r w:rsidR="005602D1" w:rsidRPr="00A67C58">
        <w:rPr>
          <w:rFonts w:asciiTheme="majorHAnsi" w:eastAsia="Times New Roman" w:hAnsiTheme="majorHAnsi" w:cstheme="majorHAnsi"/>
          <w:color w:val="000000" w:themeColor="text1"/>
        </w:rPr>
        <w:t>Compass</w:t>
      </w:r>
      <w:proofErr w:type="spellEnd"/>
      <w:r w:rsidR="005602D1" w:rsidRPr="00A67C58">
        <w:rPr>
          <w:rFonts w:asciiTheme="majorHAnsi" w:eastAsia="Times New Roman" w:hAnsiTheme="majorHAnsi" w:cstheme="majorHAnsi"/>
          <w:color w:val="000000" w:themeColor="text1"/>
        </w:rPr>
        <w:t xml:space="preserve"> S.p.A., Crédit Agricole Cariparma S.p.A., Crédit Agricole Carispezia S.p.A., Crédit Agricole </w:t>
      </w:r>
      <w:proofErr w:type="spellStart"/>
      <w:r w:rsidR="005602D1" w:rsidRPr="00A67C58">
        <w:rPr>
          <w:rFonts w:asciiTheme="majorHAnsi" w:eastAsia="Times New Roman" w:hAnsiTheme="majorHAnsi" w:cstheme="majorHAnsi"/>
          <w:color w:val="000000" w:themeColor="text1"/>
        </w:rPr>
        <w:t>FriulAdria</w:t>
      </w:r>
      <w:proofErr w:type="spellEnd"/>
      <w:r w:rsidR="005602D1" w:rsidRPr="00A67C58">
        <w:rPr>
          <w:rFonts w:asciiTheme="majorHAnsi" w:eastAsia="Times New Roman" w:hAnsiTheme="majorHAnsi" w:cstheme="majorHAnsi"/>
          <w:color w:val="000000" w:themeColor="text1"/>
        </w:rPr>
        <w:t xml:space="preserve"> S.p.A., </w:t>
      </w:r>
      <w:proofErr w:type="spellStart"/>
      <w:r w:rsidR="005602D1" w:rsidRPr="00A67C58">
        <w:rPr>
          <w:rFonts w:asciiTheme="majorHAnsi" w:eastAsia="Times New Roman" w:hAnsiTheme="majorHAnsi" w:cstheme="majorHAnsi"/>
          <w:color w:val="000000" w:themeColor="text1"/>
        </w:rPr>
        <w:t>Fincontinuo</w:t>
      </w:r>
      <w:proofErr w:type="spellEnd"/>
      <w:r w:rsidR="005602D1" w:rsidRPr="00A67C58">
        <w:rPr>
          <w:rFonts w:asciiTheme="majorHAnsi" w:eastAsia="Times New Roman" w:hAnsiTheme="majorHAnsi" w:cstheme="majorHAnsi"/>
          <w:color w:val="000000" w:themeColor="text1"/>
        </w:rPr>
        <w:t xml:space="preserve"> S.p.A., IBL Banca S.p.A., Ing Bank N.V. – Milan </w:t>
      </w:r>
      <w:proofErr w:type="spellStart"/>
      <w:r w:rsidR="005602D1" w:rsidRPr="00A67C58">
        <w:rPr>
          <w:rFonts w:asciiTheme="majorHAnsi" w:eastAsia="Times New Roman" w:hAnsiTheme="majorHAnsi" w:cstheme="majorHAnsi"/>
          <w:color w:val="000000" w:themeColor="text1"/>
        </w:rPr>
        <w:t>Branch</w:t>
      </w:r>
      <w:proofErr w:type="spellEnd"/>
      <w:r w:rsidR="005602D1" w:rsidRPr="00A67C58">
        <w:rPr>
          <w:rFonts w:asciiTheme="majorHAnsi" w:eastAsia="Times New Roman" w:hAnsiTheme="majorHAnsi" w:cstheme="majorHAnsi"/>
          <w:color w:val="000000" w:themeColor="text1"/>
        </w:rPr>
        <w:t>, Centro Veneto Bassano</w:t>
      </w:r>
      <w:r w:rsidR="00253126" w:rsidRPr="00A67C58">
        <w:rPr>
          <w:rFonts w:asciiTheme="majorHAnsi" w:eastAsia="Times New Roman" w:hAnsiTheme="majorHAnsi" w:cstheme="majorHAnsi"/>
          <w:color w:val="000000" w:themeColor="text1"/>
        </w:rPr>
        <w:t xml:space="preserve">, </w:t>
      </w:r>
      <w:proofErr w:type="spellStart"/>
      <w:r w:rsidR="009C1FE7" w:rsidRPr="00A67C58">
        <w:rPr>
          <w:rFonts w:asciiTheme="majorHAnsi" w:eastAsia="Times New Roman" w:hAnsiTheme="majorHAnsi" w:cstheme="majorHAnsi"/>
          <w:color w:val="000000" w:themeColor="text1"/>
        </w:rPr>
        <w:t>Extrabanca</w:t>
      </w:r>
      <w:proofErr w:type="spellEnd"/>
      <w:r w:rsidR="009C1FE7" w:rsidRPr="00A67C58">
        <w:rPr>
          <w:rFonts w:asciiTheme="majorHAnsi" w:eastAsia="Times New Roman" w:hAnsiTheme="majorHAnsi" w:cstheme="majorHAnsi"/>
          <w:color w:val="000000" w:themeColor="text1"/>
        </w:rPr>
        <w:t>, Banca Popolare Sant’Angelo</w:t>
      </w:r>
      <w:r w:rsidR="00F841F8" w:rsidRPr="00A67C58">
        <w:rPr>
          <w:rFonts w:asciiTheme="majorHAnsi" w:eastAsia="Times New Roman" w:hAnsiTheme="majorHAnsi" w:cstheme="majorHAnsi"/>
          <w:color w:val="000000" w:themeColor="text1"/>
        </w:rPr>
        <w:t>,</w:t>
      </w:r>
      <w:r w:rsidR="00B72348" w:rsidRPr="00A67C58">
        <w:rPr>
          <w:rFonts w:asciiTheme="majorHAnsi" w:eastAsia="Times New Roman" w:hAnsiTheme="majorHAnsi" w:cstheme="majorHAnsi"/>
          <w:color w:val="000000" w:themeColor="text1"/>
        </w:rPr>
        <w:t xml:space="preserve"> </w:t>
      </w:r>
      <w:r w:rsidR="009C1FE7" w:rsidRPr="00A67C58">
        <w:rPr>
          <w:rFonts w:asciiTheme="majorHAnsi" w:eastAsia="Times New Roman" w:hAnsiTheme="majorHAnsi" w:cstheme="majorHAnsi"/>
          <w:color w:val="000000" w:themeColor="text1"/>
        </w:rPr>
        <w:t xml:space="preserve">Prestiamoci </w:t>
      </w:r>
      <w:proofErr w:type="spellStart"/>
      <w:r w:rsidR="009C1FE7" w:rsidRPr="00A67C58">
        <w:rPr>
          <w:rFonts w:asciiTheme="majorHAnsi" w:eastAsia="Times New Roman" w:hAnsiTheme="majorHAnsi" w:cstheme="majorHAnsi"/>
          <w:color w:val="000000" w:themeColor="text1"/>
        </w:rPr>
        <w:t>S.p.A</w:t>
      </w:r>
      <w:proofErr w:type="spellEnd"/>
      <w:r w:rsidR="00F841F8" w:rsidRPr="00A67C58">
        <w:rPr>
          <w:rFonts w:asciiTheme="majorHAnsi" w:eastAsia="Times New Roman" w:hAnsiTheme="majorHAnsi" w:cstheme="majorHAnsi"/>
          <w:color w:val="000000" w:themeColor="text1"/>
        </w:rPr>
        <w:t xml:space="preserve">, Banca Centro Lazio e </w:t>
      </w:r>
      <w:proofErr w:type="spellStart"/>
      <w:r w:rsidR="00F841F8" w:rsidRPr="00A67C58">
        <w:rPr>
          <w:rFonts w:asciiTheme="majorHAnsi" w:eastAsia="Times New Roman" w:hAnsiTheme="majorHAnsi" w:cstheme="majorHAnsi"/>
          <w:color w:val="000000" w:themeColor="text1"/>
        </w:rPr>
        <w:t>Younited</w:t>
      </w:r>
      <w:proofErr w:type="spellEnd"/>
      <w:r w:rsidR="005602D1" w:rsidRPr="00A67C58">
        <w:rPr>
          <w:rFonts w:asciiTheme="majorHAnsi" w:eastAsia="Times New Roman" w:hAnsiTheme="majorHAnsi" w:cstheme="majorHAnsi"/>
          <w:color w:val="000000" w:themeColor="text1"/>
        </w:rPr>
        <w:t xml:space="preserve">. </w:t>
      </w:r>
    </w:p>
    <w:p w14:paraId="7C99272B" w14:textId="77777777" w:rsidR="005602D1" w:rsidRPr="00A67C58" w:rsidRDefault="005602D1">
      <w:pPr>
        <w:spacing w:after="0" w:line="276" w:lineRule="auto"/>
        <w:jc w:val="both"/>
        <w:rPr>
          <w:rFonts w:asciiTheme="majorHAnsi" w:eastAsia="Times New Roman" w:hAnsiTheme="majorHAnsi" w:cstheme="majorHAnsi"/>
          <w:color w:val="000000" w:themeColor="text1"/>
        </w:rPr>
      </w:pPr>
    </w:p>
    <w:p w14:paraId="122F345B" w14:textId="77777777" w:rsidR="00956637" w:rsidRPr="00A67C58" w:rsidRDefault="00956637" w:rsidP="009566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mallCaps/>
          <w:sz w:val="28"/>
          <w:szCs w:val="28"/>
        </w:rPr>
      </w:pPr>
    </w:p>
    <w:p w14:paraId="46854F82" w14:textId="1B30D09E" w:rsidR="00735F62" w:rsidRDefault="00A67C58" w:rsidP="009566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mallCaps/>
          <w:sz w:val="28"/>
          <w:szCs w:val="28"/>
        </w:rPr>
      </w:pPr>
      <w:hyperlink r:id="rId11" w:history="1">
        <w:r w:rsidR="00956637" w:rsidRPr="00A67C58">
          <w:rPr>
            <w:rStyle w:val="Collegamentoipertestuale"/>
            <w:rFonts w:asciiTheme="majorHAnsi" w:eastAsia="Times New Roman" w:hAnsiTheme="majorHAnsi" w:cstheme="majorHAnsi"/>
            <w:b/>
            <w:bCs/>
            <w:smallCaps/>
            <w:color w:val="FF0000"/>
            <w:sz w:val="28"/>
            <w:szCs w:val="28"/>
          </w:rPr>
          <w:t>Scarica</w:t>
        </w:r>
      </w:hyperlink>
      <w:r w:rsidR="00956637" w:rsidRPr="00A67C58">
        <w:rPr>
          <w:rFonts w:asciiTheme="majorHAnsi" w:eastAsia="Times New Roman" w:hAnsiTheme="majorHAnsi" w:cstheme="majorHAnsi"/>
          <w:b/>
          <w:bCs/>
          <w:smallCaps/>
          <w:sz w:val="28"/>
          <w:szCs w:val="28"/>
        </w:rPr>
        <w:t xml:space="preserve"> il Credit Report </w:t>
      </w:r>
      <w:r w:rsidR="00CB3C0A" w:rsidRPr="00A67C58">
        <w:rPr>
          <w:rFonts w:asciiTheme="majorHAnsi" w:eastAsia="Times New Roman" w:hAnsiTheme="majorHAnsi" w:cstheme="majorHAnsi"/>
          <w:b/>
          <w:bCs/>
          <w:smallCaps/>
          <w:sz w:val="28"/>
          <w:szCs w:val="28"/>
        </w:rPr>
        <w:t>2022</w:t>
      </w:r>
      <w:r w:rsidR="00956637" w:rsidRPr="00A67C58">
        <w:rPr>
          <w:rFonts w:asciiTheme="majorHAnsi" w:eastAsia="Times New Roman" w:hAnsiTheme="majorHAnsi" w:cstheme="majorHAnsi"/>
          <w:b/>
          <w:bCs/>
          <w:smallCaps/>
          <w:sz w:val="28"/>
          <w:szCs w:val="28"/>
        </w:rPr>
        <w:t xml:space="preserve"> al seguente link:</w:t>
      </w:r>
    </w:p>
    <w:p w14:paraId="3BC42102" w14:textId="70977614" w:rsidR="00A67C58" w:rsidRPr="00A67C58" w:rsidRDefault="00A67C58" w:rsidP="009566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</w:rPr>
      </w:pPr>
      <w:hyperlink r:id="rId12" w:history="1">
        <w:r w:rsidRPr="00A67C58">
          <w:rPr>
            <w:rStyle w:val="Collegamentoipertestuale"/>
            <w:rFonts w:asciiTheme="majorHAnsi" w:eastAsia="Times New Roman" w:hAnsiTheme="majorHAnsi" w:cstheme="majorHAnsi"/>
            <w:b/>
            <w:bCs/>
          </w:rPr>
          <w:t>https://www.24max.it/wp-content/uploads/2022/03/24MAX-CreditReport2022_compressed.pdf</w:t>
        </w:r>
      </w:hyperlink>
      <w:r w:rsidRPr="00A67C58">
        <w:rPr>
          <w:rFonts w:asciiTheme="majorHAnsi" w:eastAsia="Times New Roman" w:hAnsiTheme="majorHAnsi" w:cstheme="majorHAnsi"/>
          <w:b/>
          <w:bCs/>
        </w:rPr>
        <w:t xml:space="preserve"> </w:t>
      </w:r>
    </w:p>
    <w:p w14:paraId="4AEA146C" w14:textId="3C7F6918" w:rsidR="00956637" w:rsidRPr="00A67C58" w:rsidRDefault="00956637" w:rsidP="009566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4"/>
          <w:szCs w:val="24"/>
        </w:rPr>
      </w:pPr>
    </w:p>
    <w:p w14:paraId="611DFA20" w14:textId="32A768AA" w:rsidR="00053E3F" w:rsidRPr="00A67C58" w:rsidRDefault="00053E3F" w:rsidP="00FE78F6">
      <w:pPr>
        <w:spacing w:after="0" w:line="276" w:lineRule="auto"/>
        <w:jc w:val="both"/>
        <w:rPr>
          <w:rFonts w:asciiTheme="majorHAnsi" w:eastAsia="Times New Roman" w:hAnsiTheme="majorHAnsi" w:cstheme="majorHAnsi"/>
          <w:color w:val="000000" w:themeColor="text1"/>
        </w:rPr>
      </w:pPr>
    </w:p>
    <w:p w14:paraId="678D382D" w14:textId="77777777" w:rsidR="00652D41" w:rsidRPr="00A67C58" w:rsidRDefault="00652D41" w:rsidP="00652D41">
      <w:pPr>
        <w:spacing w:after="0" w:line="240" w:lineRule="auto"/>
        <w:jc w:val="both"/>
        <w:rPr>
          <w:rFonts w:asciiTheme="majorHAnsi" w:hAnsiTheme="majorHAnsi"/>
          <w:b/>
          <w:i/>
          <w:iCs/>
          <w:sz w:val="24"/>
        </w:rPr>
      </w:pPr>
      <w:r w:rsidRPr="00A67C58">
        <w:rPr>
          <w:rFonts w:asciiTheme="majorHAnsi" w:hAnsiTheme="majorHAnsi"/>
          <w:b/>
          <w:i/>
          <w:iCs/>
          <w:sz w:val="24"/>
        </w:rPr>
        <w:t>24MAX PROFILO AZIENDALE</w:t>
      </w:r>
    </w:p>
    <w:p w14:paraId="2FB1107C" w14:textId="77777777" w:rsidR="00652D41" w:rsidRDefault="00652D41" w:rsidP="00652D41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</w:pPr>
      <w:r w:rsidRPr="00A67C58"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 xml:space="preserve">24MAX Spa è la Società di Mediazione Creditizia ideata e realizzata per dare una risposta concreta all’esigenza di consulenza finanziaria della clientela che compra casa affidandosi ad una Agenzia Immobiliare RE/MAX, in tempo reale. 24MAX è partecipata da RE/MAX Italia e 24Finance Spa. La mission è completare la Customer Experience della clientela, dalla scelta dell’abitazione all’ottenimento delle risorse finanziarie necessarie per l’acquisto. Nelle oltre 450 agenzie RE/MAX in Italia, in cui operano più di 4.600 consulenti immobiliari affiliati, sono stati allestiti corner finanziari in cui operano i Credit </w:t>
      </w:r>
      <w:proofErr w:type="spellStart"/>
      <w:r w:rsidRPr="00A67C58"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>Specialist</w:t>
      </w:r>
      <w:proofErr w:type="spellEnd"/>
      <w:r w:rsidRPr="00A67C58"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 xml:space="preserve"> di 24MAX, professionisti selezionati tra i migliori presenti sul mercato del credito per la loro competenza ed esperienza.</w:t>
      </w:r>
    </w:p>
    <w:p w14:paraId="36D229C2" w14:textId="77777777" w:rsidR="00652D41" w:rsidRPr="00206087" w:rsidRDefault="00652D41" w:rsidP="00652D41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</w:pPr>
      <w:r w:rsidRPr="00FE18C4"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 xml:space="preserve">Ad oggi 24MAX ha attivato convenzioni con primari istituti di credito nazionali e territoriali, quali: Agos, Banca Centro Lazio, Banca Progetto, BCC di Roma, BNL, Cassa di Risparmio di Asti, Centro Veneto Bassano Banca, CheBanca!, </w:t>
      </w:r>
      <w:proofErr w:type="spellStart"/>
      <w:r w:rsidRPr="00FE18C4"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>Compass</w:t>
      </w:r>
      <w:proofErr w:type="spellEnd"/>
      <w:r w:rsidRPr="00FE18C4"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 xml:space="preserve">, Credit Agricole, Extra Banca, </w:t>
      </w:r>
      <w:proofErr w:type="spellStart"/>
      <w:r w:rsidRPr="00FE18C4"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>Fincontinuo</w:t>
      </w:r>
      <w:proofErr w:type="spellEnd"/>
      <w:r w:rsidRPr="00FE18C4"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>, Gruppo Creval, IBL Banca, ING Bank</w:t>
      </w:r>
      <w:r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>,</w:t>
      </w:r>
      <w:r w:rsidRPr="00B56CA8">
        <w:t xml:space="preserve"> </w:t>
      </w:r>
      <w:r w:rsidRPr="00FB7617"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>Banca Sant’Angelo</w:t>
      </w:r>
      <w:r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>,</w:t>
      </w:r>
      <w:r w:rsidRPr="00FB7617"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 xml:space="preserve"> Prestiamoci</w:t>
      </w:r>
      <w:r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 xml:space="preserve">, Banca Centro Lazio e </w:t>
      </w:r>
      <w:proofErr w:type="spellStart"/>
      <w:r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>Younited</w:t>
      </w:r>
      <w:proofErr w:type="spellEnd"/>
      <w:r w:rsidRPr="00FE18C4"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>.</w:t>
      </w:r>
    </w:p>
    <w:p w14:paraId="41F9BD1E" w14:textId="77777777" w:rsidR="00652D41" w:rsidRDefault="00652D41" w:rsidP="009B6188">
      <w:pPr>
        <w:spacing w:after="0"/>
        <w:rPr>
          <w:rFonts w:ascii="Calibri Light" w:hAnsi="Calibri Light" w:cs="Calibri Light"/>
          <w:b/>
          <w:bCs/>
          <w:color w:val="000000"/>
          <w:u w:val="single"/>
        </w:rPr>
      </w:pPr>
    </w:p>
    <w:p w14:paraId="1887A642" w14:textId="007274DC" w:rsidR="009B6188" w:rsidRDefault="009B6188" w:rsidP="009B6188">
      <w:pPr>
        <w:spacing w:after="0"/>
        <w:rPr>
          <w:rFonts w:ascii="Calibri Light" w:hAnsi="Calibri Light" w:cs="Calibri Light"/>
          <w:b/>
          <w:bCs/>
          <w:color w:val="000000"/>
          <w:u w:val="single"/>
        </w:rPr>
      </w:pPr>
      <w:r>
        <w:rPr>
          <w:rFonts w:ascii="Calibri Light" w:hAnsi="Calibri Light" w:cs="Calibri Light"/>
          <w:b/>
          <w:bCs/>
          <w:color w:val="000000"/>
          <w:u w:val="single"/>
        </w:rPr>
        <w:t xml:space="preserve">Pinkommunication srl - Ufficio stampa 24MAX </w:t>
      </w:r>
    </w:p>
    <w:p w14:paraId="2701F0B2" w14:textId="77777777" w:rsidR="009B6188" w:rsidRDefault="009B6188" w:rsidP="009B6188">
      <w:pPr>
        <w:spacing w:after="0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 xml:space="preserve">Cristina Cortellezzi – Laura Premoli – Claudia Valerani </w:t>
      </w:r>
    </w:p>
    <w:p w14:paraId="107B916B" w14:textId="77777777" w:rsidR="009B6188" w:rsidRDefault="00A67C58" w:rsidP="009B6188">
      <w:pPr>
        <w:spacing w:after="0"/>
        <w:rPr>
          <w:rFonts w:ascii="Calibri Light" w:hAnsi="Calibri Light" w:cs="Calibri Light"/>
          <w:color w:val="000000"/>
        </w:rPr>
      </w:pPr>
      <w:hyperlink r:id="rId13" w:history="1">
        <w:r w:rsidR="009B6188">
          <w:rPr>
            <w:rStyle w:val="Collegamentoipertestuale"/>
            <w:rFonts w:ascii="Calibri Light" w:hAnsi="Calibri Light" w:cs="Calibri Light"/>
            <w:color w:val="000000"/>
          </w:rPr>
          <w:t>info@pinkommunication.it</w:t>
        </w:r>
      </w:hyperlink>
      <w:r w:rsidR="009B6188">
        <w:rPr>
          <w:rFonts w:ascii="Calibri Light" w:hAnsi="Calibri Light" w:cs="Calibri Light"/>
          <w:color w:val="000000"/>
        </w:rPr>
        <w:t xml:space="preserve"> </w:t>
      </w:r>
    </w:p>
    <w:p w14:paraId="62A719B0" w14:textId="24D8ED49" w:rsidR="009370AB" w:rsidRPr="00652D41" w:rsidRDefault="009B6188" w:rsidP="009B6188">
      <w:pPr>
        <w:spacing w:after="0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>M. 340 1044227</w:t>
      </w:r>
    </w:p>
    <w:sectPr w:rsidR="009370AB" w:rsidRPr="00652D41" w:rsidSect="003424DE">
      <w:head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853172" w14:textId="77777777" w:rsidR="002A5249" w:rsidRDefault="002A5249">
      <w:pPr>
        <w:spacing w:after="0" w:line="240" w:lineRule="auto"/>
      </w:pPr>
      <w:r>
        <w:separator/>
      </w:r>
    </w:p>
  </w:endnote>
  <w:endnote w:type="continuationSeparator" w:id="0">
    <w:p w14:paraId="18B2CF00" w14:textId="77777777" w:rsidR="002A5249" w:rsidRDefault="002A5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617367" w14:textId="77777777" w:rsidR="002A5249" w:rsidRDefault="002A5249">
      <w:pPr>
        <w:spacing w:after="0" w:line="240" w:lineRule="auto"/>
      </w:pPr>
      <w:r>
        <w:separator/>
      </w:r>
    </w:p>
  </w:footnote>
  <w:footnote w:type="continuationSeparator" w:id="0">
    <w:p w14:paraId="3FFA5B10" w14:textId="77777777" w:rsidR="002A5249" w:rsidRDefault="002A5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9EADC" w14:textId="0B375FA2" w:rsidR="008D1525" w:rsidRPr="008362E7" w:rsidRDefault="00D3255D" w:rsidP="0067023A">
    <w:pPr>
      <w:jc w:val="right"/>
      <w:rPr>
        <w:b/>
        <w:color w:val="FFFFFF" w:themeColor="background1"/>
        <w:sz w:val="20"/>
        <w:szCs w:val="20"/>
      </w:rPr>
    </w:pP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460A9FB5" wp14:editId="209DB327">
          <wp:simplePos x="0" y="0"/>
          <wp:positionH relativeFrom="column">
            <wp:posOffset>53340</wp:posOffset>
          </wp:positionH>
          <wp:positionV relativeFrom="paragraph">
            <wp:posOffset>-22860</wp:posOffset>
          </wp:positionV>
          <wp:extent cx="1375410" cy="411480"/>
          <wp:effectExtent l="19050" t="0" r="0" b="0"/>
          <wp:wrapTight wrapText="bothSides">
            <wp:wrapPolygon edited="0">
              <wp:start x="598" y="0"/>
              <wp:lineTo x="-299" y="3000"/>
              <wp:lineTo x="-299" y="21000"/>
              <wp:lineTo x="21540" y="21000"/>
              <wp:lineTo x="21540" y="20000"/>
              <wp:lineTo x="20942" y="16000"/>
              <wp:lineTo x="21540" y="1000"/>
              <wp:lineTo x="21540" y="0"/>
              <wp:lineTo x="598" y="0"/>
            </wp:wrapPolygon>
          </wp:wrapTight>
          <wp:docPr id="2" name="Immagine 1" descr="24m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4ma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4114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175E9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65B04F" wp14:editId="326EECD8">
              <wp:simplePos x="0" y="0"/>
              <wp:positionH relativeFrom="column">
                <wp:posOffset>1575435</wp:posOffset>
              </wp:positionH>
              <wp:positionV relativeFrom="paragraph">
                <wp:posOffset>165735</wp:posOffset>
              </wp:positionV>
              <wp:extent cx="4567555" cy="222250"/>
              <wp:effectExtent l="0" t="0" r="23495" b="25400"/>
              <wp:wrapNone/>
              <wp:docPr id="3" name="Rettango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567555" cy="222250"/>
                      </a:xfrm>
                      <a:prstGeom prst="rect">
                        <a:avLst/>
                      </a:prstGeom>
                      <a:solidFill>
                        <a:srgbClr val="E72525"/>
                      </a:solidFill>
                      <a:ln>
                        <a:solidFill>
                          <a:srgbClr val="E72525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B29B6B8" w14:textId="77777777" w:rsidR="008D1525" w:rsidRPr="008362E7" w:rsidRDefault="00D3255D" w:rsidP="0067023A">
                          <w:pPr>
                            <w:jc w:val="right"/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8362E7"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COMUNICATO STAMPA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65B04F" id="Rettangolo 3" o:spid="_x0000_s1026" style="position:absolute;left:0;text-align:left;margin-left:124.05pt;margin-top:13.05pt;width:359.65pt;height:1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0NfqQIAANMFAAAOAAAAZHJzL2Uyb0RvYy54bWysVE1v2zAMvQ/YfxB0X524cbsZdYqgXYcB&#10;QVu0HXpWZCk2JouapMTOfv0o+WNZV+xQzAdBNB+fyCeRF5ddo8heWFeDLuj8ZEaJ0BzKWm8L+u3p&#10;5sNHSpxnumQKtCjoQTh6uXz/7qI1uUihAlUKS5BEu7w1Ba28N3mSOF6JhrkTMEKjU4JtmEfTbpPS&#10;shbZG5Wks9lZ0oItjQUunMO/172TLiO/lIL7Oymd8EQVFHPzcbVx3YQ1WV6wfGuZqWo+pMHekEXD&#10;ao2HTlTXzDOys/VfVE3NLTiQ/oRDk4CUNRexBqxmPntRzWPFjIi1oDjOTDK5/0fLb/f3ltRlQU8p&#10;0azBK3oQHi9sCwrIadCnNS5H2KO5t6FCZ9bAvzt0JH94guEGTCdtE7BYH+mi2IdJbNF5wvHnIjs7&#10;z7KMEo6+FL8s3kbC8jHaWOe/CGhI2BTU4mVGjdl+7Xw4n+UjJCYGqi5vaqWiYbebK2XJnuHFfz5P&#10;szQLtWCIO4Yp/bZI5AmhUYG+6Fi+PygRCJV+EBJVxTLTmHJ8z2JKiHEutJ/3roqVos8zm+E3phk6&#10;IETEpCNhYJZY38Q9EIzInmTk7qsd8CFUxHaYgmf/SqwPniLiyaD9FNzUGuxrBAqrGk7u8aNIvTRB&#10;Jd9tOoSE7QbKAz4/C31fOsNvarzrNXP+nllsRGxZHC7+DhepoC0oDDtKKrA/X/sf8Ngf6KWkxcYu&#10;qPuxY1ZQor5q7JxP88UiTIJoLLLzFA177Nkce/SuuQJ8QnMcY4bHbcB7NW6lheYZZ9AqnIoupjme&#10;XVDu7Whc+X7g4BTjYrWKMOx+w/xaPxoeyIPA4S0/dc/MmuHBe2yVWxiHAMtfvPseGyI1rHYeZB2b&#10;4reug/Q4OeIbGqZcGE3HdkT9nsXLXwAAAP//AwBQSwMEFAAGAAgAAAAhADCxAfTeAAAACQEAAA8A&#10;AABkcnMvZG93bnJldi54bWxMj8FqwzAMhu+DvYNRYbfVcShZl8UpZZDDYAzW9gHc2I5DYzmL3TR7&#10;+2mn7SQJffz6VO0WP7DZTLEPKEGsM2AG26B77CScjs3jFlhMCrUaAhoJ3ybCrr6/q1Spww0/zXxI&#10;HaMQjKWS4FIaS85j64xXcR1Gg7SzYfIq0Th1XE/qRuF+4HmWFdyrHumCU6N5daa9HK5ewru11rfu&#10;7Si0PX3l80cj9o2Q8mG17F+AJbOkPxh+9UkdanI6hyvqyAYJ+WYrCKWmoErAc/G0AXaWUAgBvK74&#10;/w/qHwAAAP//AwBQSwECLQAUAAYACAAAACEAtoM4kv4AAADhAQAAEwAAAAAAAAAAAAAAAAAAAAAA&#10;W0NvbnRlbnRfVHlwZXNdLnhtbFBLAQItABQABgAIAAAAIQA4/SH/1gAAAJQBAAALAAAAAAAAAAAA&#10;AAAAAC8BAABfcmVscy8ucmVsc1BLAQItABQABgAIAAAAIQBiH0NfqQIAANMFAAAOAAAAAAAAAAAA&#10;AAAAAC4CAABkcnMvZTJvRG9jLnhtbFBLAQItABQABgAIAAAAIQAwsQH03gAAAAkBAAAPAAAAAAAA&#10;AAAAAAAAAAMFAABkcnMvZG93bnJldi54bWxQSwUGAAAAAAQABADzAAAADgYAAAAA&#10;" fillcolor="#e72525" strokecolor="#e72525" strokeweight="1pt">
              <v:path arrowok="t"/>
              <v:textbox>
                <w:txbxContent>
                  <w:p w14:paraId="0B29B6B8" w14:textId="77777777" w:rsidR="008D1525" w:rsidRPr="008362E7" w:rsidRDefault="00D3255D" w:rsidP="0067023A">
                    <w:pPr>
                      <w:jc w:val="right"/>
                      <w:rPr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8362E7"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>COMUNICATO STAMPA</w:t>
                    </w:r>
                  </w:p>
                </w:txbxContent>
              </v:textbox>
            </v:rect>
          </w:pict>
        </mc:Fallback>
      </mc:AlternateContent>
    </w:r>
    <w:r w:rsidRPr="0067023A">
      <w:rPr>
        <w:b/>
        <w:color w:val="FFFFFF" w:themeColor="background1"/>
        <w:sz w:val="20"/>
        <w:szCs w:val="20"/>
      </w:rPr>
      <w:t xml:space="preserve"> </w:t>
    </w:r>
    <w:r w:rsidRPr="008362E7">
      <w:rPr>
        <w:b/>
        <w:color w:val="FFFFFF" w:themeColor="background1"/>
        <w:sz w:val="20"/>
        <w:szCs w:val="20"/>
      </w:rPr>
      <w:t>COMUNICATO STAMPA</w:t>
    </w:r>
  </w:p>
  <w:p w14:paraId="2D63EA51" w14:textId="77777777" w:rsidR="008D1525" w:rsidRDefault="00A67C58" w:rsidP="0067023A">
    <w:pPr>
      <w:pStyle w:val="Intestazione"/>
    </w:pPr>
  </w:p>
  <w:p w14:paraId="6D20EA95" w14:textId="6ABFB978" w:rsidR="008D1525" w:rsidRDefault="00A67C58">
    <w:pPr>
      <w:pStyle w:val="Intestazione"/>
    </w:pPr>
  </w:p>
  <w:p w14:paraId="583B18BE" w14:textId="77777777" w:rsidR="00053E3F" w:rsidRDefault="00053E3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819FC"/>
    <w:multiLevelType w:val="hybridMultilevel"/>
    <w:tmpl w:val="03985B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B4FE2"/>
    <w:multiLevelType w:val="multilevel"/>
    <w:tmpl w:val="A418C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F363E7"/>
    <w:multiLevelType w:val="multilevel"/>
    <w:tmpl w:val="C6683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E96209"/>
    <w:multiLevelType w:val="hybridMultilevel"/>
    <w:tmpl w:val="B80641FC"/>
    <w:lvl w:ilvl="0" w:tplc="7B98DAD4">
      <w:start w:val="27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83F21"/>
    <w:multiLevelType w:val="hybridMultilevel"/>
    <w:tmpl w:val="3EE8A35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94415"/>
    <w:multiLevelType w:val="hybridMultilevel"/>
    <w:tmpl w:val="8E0A7BB6"/>
    <w:lvl w:ilvl="0" w:tplc="2604F250">
      <w:start w:val="27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74E9F"/>
    <w:multiLevelType w:val="hybridMultilevel"/>
    <w:tmpl w:val="F2B495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77B2A"/>
    <w:multiLevelType w:val="hybridMultilevel"/>
    <w:tmpl w:val="76DE7C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ED27F0"/>
    <w:multiLevelType w:val="hybridMultilevel"/>
    <w:tmpl w:val="FE0A51FA"/>
    <w:lvl w:ilvl="0" w:tplc="3CFE4AB2">
      <w:start w:val="27"/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2F2C28"/>
    <w:multiLevelType w:val="hybridMultilevel"/>
    <w:tmpl w:val="7E28682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C41165"/>
    <w:multiLevelType w:val="hybridMultilevel"/>
    <w:tmpl w:val="FD28B1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0"/>
  </w:num>
  <w:num w:numId="5">
    <w:abstractNumId w:val="4"/>
  </w:num>
  <w:num w:numId="6">
    <w:abstractNumId w:val="1"/>
  </w:num>
  <w:num w:numId="7">
    <w:abstractNumId w:val="0"/>
  </w:num>
  <w:num w:numId="8">
    <w:abstractNumId w:val="5"/>
  </w:num>
  <w:num w:numId="9">
    <w:abstractNumId w:val="8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176"/>
    <w:rsid w:val="00002506"/>
    <w:rsid w:val="00006085"/>
    <w:rsid w:val="00014EAB"/>
    <w:rsid w:val="00016576"/>
    <w:rsid w:val="000178AF"/>
    <w:rsid w:val="0003014C"/>
    <w:rsid w:val="00046291"/>
    <w:rsid w:val="000479AF"/>
    <w:rsid w:val="00053E3F"/>
    <w:rsid w:val="00056854"/>
    <w:rsid w:val="0006114E"/>
    <w:rsid w:val="000665F4"/>
    <w:rsid w:val="00076176"/>
    <w:rsid w:val="00080BE6"/>
    <w:rsid w:val="00090FFB"/>
    <w:rsid w:val="00095ACD"/>
    <w:rsid w:val="0009676C"/>
    <w:rsid w:val="000A3B0F"/>
    <w:rsid w:val="000B01E1"/>
    <w:rsid w:val="000C2794"/>
    <w:rsid w:val="000D31EA"/>
    <w:rsid w:val="000D4E09"/>
    <w:rsid w:val="000D6725"/>
    <w:rsid w:val="00101330"/>
    <w:rsid w:val="00102B36"/>
    <w:rsid w:val="001033ED"/>
    <w:rsid w:val="001051B6"/>
    <w:rsid w:val="00134BC7"/>
    <w:rsid w:val="0013675C"/>
    <w:rsid w:val="00156F97"/>
    <w:rsid w:val="00163B64"/>
    <w:rsid w:val="0016699D"/>
    <w:rsid w:val="00167998"/>
    <w:rsid w:val="0017302F"/>
    <w:rsid w:val="001748B5"/>
    <w:rsid w:val="00175FD3"/>
    <w:rsid w:val="00177DB4"/>
    <w:rsid w:val="001811E5"/>
    <w:rsid w:val="00190E53"/>
    <w:rsid w:val="001A2A2B"/>
    <w:rsid w:val="001C3468"/>
    <w:rsid w:val="001D5836"/>
    <w:rsid w:val="001E0687"/>
    <w:rsid w:val="001E1ABF"/>
    <w:rsid w:val="001E6543"/>
    <w:rsid w:val="00206087"/>
    <w:rsid w:val="00226EBA"/>
    <w:rsid w:val="00237C31"/>
    <w:rsid w:val="00253126"/>
    <w:rsid w:val="00260309"/>
    <w:rsid w:val="00263B3A"/>
    <w:rsid w:val="002A0104"/>
    <w:rsid w:val="002A15CF"/>
    <w:rsid w:val="002A5249"/>
    <w:rsid w:val="002B7821"/>
    <w:rsid w:val="002E40B4"/>
    <w:rsid w:val="0030402A"/>
    <w:rsid w:val="00314408"/>
    <w:rsid w:val="00321C10"/>
    <w:rsid w:val="00324947"/>
    <w:rsid w:val="00362317"/>
    <w:rsid w:val="00372A53"/>
    <w:rsid w:val="00396EE9"/>
    <w:rsid w:val="003A3007"/>
    <w:rsid w:val="003A5BEA"/>
    <w:rsid w:val="003B6CEC"/>
    <w:rsid w:val="003F55A1"/>
    <w:rsid w:val="003F7038"/>
    <w:rsid w:val="00402F89"/>
    <w:rsid w:val="00407B59"/>
    <w:rsid w:val="0042232D"/>
    <w:rsid w:val="0042437A"/>
    <w:rsid w:val="00440BAD"/>
    <w:rsid w:val="00443FF2"/>
    <w:rsid w:val="004466BF"/>
    <w:rsid w:val="004477BF"/>
    <w:rsid w:val="00466DA5"/>
    <w:rsid w:val="00475D38"/>
    <w:rsid w:val="004769C3"/>
    <w:rsid w:val="00487BBF"/>
    <w:rsid w:val="00490E48"/>
    <w:rsid w:val="00491450"/>
    <w:rsid w:val="004930CF"/>
    <w:rsid w:val="00497C36"/>
    <w:rsid w:val="004B278D"/>
    <w:rsid w:val="004C4F7A"/>
    <w:rsid w:val="004C77BD"/>
    <w:rsid w:val="004D3605"/>
    <w:rsid w:val="004E36A3"/>
    <w:rsid w:val="004E4099"/>
    <w:rsid w:val="00505281"/>
    <w:rsid w:val="005174E8"/>
    <w:rsid w:val="0053208E"/>
    <w:rsid w:val="005479C9"/>
    <w:rsid w:val="00551878"/>
    <w:rsid w:val="005602D1"/>
    <w:rsid w:val="005644F1"/>
    <w:rsid w:val="00584747"/>
    <w:rsid w:val="005A71E6"/>
    <w:rsid w:val="005B1AD7"/>
    <w:rsid w:val="005B1E8C"/>
    <w:rsid w:val="005B4383"/>
    <w:rsid w:val="005B75FF"/>
    <w:rsid w:val="005D42A6"/>
    <w:rsid w:val="005F269C"/>
    <w:rsid w:val="005F6997"/>
    <w:rsid w:val="005F7209"/>
    <w:rsid w:val="006062A1"/>
    <w:rsid w:val="0061296E"/>
    <w:rsid w:val="0063735A"/>
    <w:rsid w:val="0065247C"/>
    <w:rsid w:val="00652C01"/>
    <w:rsid w:val="00652D41"/>
    <w:rsid w:val="00653625"/>
    <w:rsid w:val="00672E5B"/>
    <w:rsid w:val="00687D84"/>
    <w:rsid w:val="006B05D4"/>
    <w:rsid w:val="006B648A"/>
    <w:rsid w:val="006B708C"/>
    <w:rsid w:val="006C6366"/>
    <w:rsid w:val="006D2903"/>
    <w:rsid w:val="006D4162"/>
    <w:rsid w:val="006E21E2"/>
    <w:rsid w:val="006F7DB0"/>
    <w:rsid w:val="007043BF"/>
    <w:rsid w:val="00717F45"/>
    <w:rsid w:val="007236E0"/>
    <w:rsid w:val="007261F0"/>
    <w:rsid w:val="007272DA"/>
    <w:rsid w:val="0073441E"/>
    <w:rsid w:val="00735F62"/>
    <w:rsid w:val="007378FC"/>
    <w:rsid w:val="00740110"/>
    <w:rsid w:val="00743B84"/>
    <w:rsid w:val="00752C9D"/>
    <w:rsid w:val="00753383"/>
    <w:rsid w:val="00787274"/>
    <w:rsid w:val="00793F73"/>
    <w:rsid w:val="007A28AD"/>
    <w:rsid w:val="007B14F7"/>
    <w:rsid w:val="007B68DE"/>
    <w:rsid w:val="007C5279"/>
    <w:rsid w:val="007D07D9"/>
    <w:rsid w:val="007D2D26"/>
    <w:rsid w:val="007D4B08"/>
    <w:rsid w:val="007D7BEF"/>
    <w:rsid w:val="007F7BD4"/>
    <w:rsid w:val="00816AC1"/>
    <w:rsid w:val="00825647"/>
    <w:rsid w:val="008275B8"/>
    <w:rsid w:val="00831E88"/>
    <w:rsid w:val="00852589"/>
    <w:rsid w:val="00856C7A"/>
    <w:rsid w:val="00870BF4"/>
    <w:rsid w:val="00870D1C"/>
    <w:rsid w:val="0087177C"/>
    <w:rsid w:val="00873435"/>
    <w:rsid w:val="00875B16"/>
    <w:rsid w:val="00896A1C"/>
    <w:rsid w:val="008A7BFE"/>
    <w:rsid w:val="008B0921"/>
    <w:rsid w:val="008C1C22"/>
    <w:rsid w:val="008D43AA"/>
    <w:rsid w:val="008D5051"/>
    <w:rsid w:val="008E0CF5"/>
    <w:rsid w:val="008E7CAC"/>
    <w:rsid w:val="008F14A6"/>
    <w:rsid w:val="008F18F2"/>
    <w:rsid w:val="00904611"/>
    <w:rsid w:val="0091661F"/>
    <w:rsid w:val="00920C1C"/>
    <w:rsid w:val="00923535"/>
    <w:rsid w:val="009370AB"/>
    <w:rsid w:val="00937DF6"/>
    <w:rsid w:val="00942B90"/>
    <w:rsid w:val="00945302"/>
    <w:rsid w:val="00945A88"/>
    <w:rsid w:val="00950D9B"/>
    <w:rsid w:val="00953431"/>
    <w:rsid w:val="00955CB6"/>
    <w:rsid w:val="00956637"/>
    <w:rsid w:val="009616B2"/>
    <w:rsid w:val="009821CE"/>
    <w:rsid w:val="00990328"/>
    <w:rsid w:val="00990F15"/>
    <w:rsid w:val="009A489D"/>
    <w:rsid w:val="009A61D7"/>
    <w:rsid w:val="009B6188"/>
    <w:rsid w:val="009C1FE7"/>
    <w:rsid w:val="009D6DA8"/>
    <w:rsid w:val="009E0A18"/>
    <w:rsid w:val="009E19A8"/>
    <w:rsid w:val="009E53DC"/>
    <w:rsid w:val="009E6C39"/>
    <w:rsid w:val="00A043A2"/>
    <w:rsid w:val="00A30674"/>
    <w:rsid w:val="00A444C2"/>
    <w:rsid w:val="00A6021C"/>
    <w:rsid w:val="00A6482C"/>
    <w:rsid w:val="00A67C58"/>
    <w:rsid w:val="00A7030C"/>
    <w:rsid w:val="00A846E2"/>
    <w:rsid w:val="00AB0CCE"/>
    <w:rsid w:val="00AB299A"/>
    <w:rsid w:val="00AB462F"/>
    <w:rsid w:val="00AB67F2"/>
    <w:rsid w:val="00AD1DEC"/>
    <w:rsid w:val="00AD1DF3"/>
    <w:rsid w:val="00AE3593"/>
    <w:rsid w:val="00AE4D70"/>
    <w:rsid w:val="00B0075A"/>
    <w:rsid w:val="00B02363"/>
    <w:rsid w:val="00B038AA"/>
    <w:rsid w:val="00B12A6E"/>
    <w:rsid w:val="00B175E9"/>
    <w:rsid w:val="00B31B7C"/>
    <w:rsid w:val="00B51397"/>
    <w:rsid w:val="00B56CA8"/>
    <w:rsid w:val="00B6073E"/>
    <w:rsid w:val="00B65AEA"/>
    <w:rsid w:val="00B70BB9"/>
    <w:rsid w:val="00B72348"/>
    <w:rsid w:val="00B965E1"/>
    <w:rsid w:val="00BA297F"/>
    <w:rsid w:val="00BB504F"/>
    <w:rsid w:val="00BB7623"/>
    <w:rsid w:val="00BC3019"/>
    <w:rsid w:val="00BD37CF"/>
    <w:rsid w:val="00C044CF"/>
    <w:rsid w:val="00C04BB5"/>
    <w:rsid w:val="00C143C3"/>
    <w:rsid w:val="00C20823"/>
    <w:rsid w:val="00C24749"/>
    <w:rsid w:val="00C43B69"/>
    <w:rsid w:val="00C505BD"/>
    <w:rsid w:val="00C54440"/>
    <w:rsid w:val="00C54FCF"/>
    <w:rsid w:val="00C801B8"/>
    <w:rsid w:val="00C81E5B"/>
    <w:rsid w:val="00CB3C0A"/>
    <w:rsid w:val="00CC543F"/>
    <w:rsid w:val="00CC588D"/>
    <w:rsid w:val="00CD0E37"/>
    <w:rsid w:val="00CD4849"/>
    <w:rsid w:val="00CD54F8"/>
    <w:rsid w:val="00CE7038"/>
    <w:rsid w:val="00D3255D"/>
    <w:rsid w:val="00D46647"/>
    <w:rsid w:val="00D50D49"/>
    <w:rsid w:val="00D53A07"/>
    <w:rsid w:val="00D561B6"/>
    <w:rsid w:val="00D802C7"/>
    <w:rsid w:val="00D82CB9"/>
    <w:rsid w:val="00D86992"/>
    <w:rsid w:val="00D93F78"/>
    <w:rsid w:val="00D96FD3"/>
    <w:rsid w:val="00DA4920"/>
    <w:rsid w:val="00DC312D"/>
    <w:rsid w:val="00DD6BB8"/>
    <w:rsid w:val="00DE7D79"/>
    <w:rsid w:val="00DF1891"/>
    <w:rsid w:val="00DF2269"/>
    <w:rsid w:val="00DF42EE"/>
    <w:rsid w:val="00DF6F56"/>
    <w:rsid w:val="00E12C9B"/>
    <w:rsid w:val="00E27BB2"/>
    <w:rsid w:val="00E3627F"/>
    <w:rsid w:val="00E74649"/>
    <w:rsid w:val="00E747DC"/>
    <w:rsid w:val="00E93F6D"/>
    <w:rsid w:val="00EA76A8"/>
    <w:rsid w:val="00EB0F80"/>
    <w:rsid w:val="00EC15E1"/>
    <w:rsid w:val="00EC27CB"/>
    <w:rsid w:val="00ED0822"/>
    <w:rsid w:val="00EF3C1D"/>
    <w:rsid w:val="00F338EC"/>
    <w:rsid w:val="00F33A42"/>
    <w:rsid w:val="00F36E8C"/>
    <w:rsid w:val="00F45F99"/>
    <w:rsid w:val="00F77D4F"/>
    <w:rsid w:val="00F841F8"/>
    <w:rsid w:val="00F84BBB"/>
    <w:rsid w:val="00FA44B4"/>
    <w:rsid w:val="00FB4C8A"/>
    <w:rsid w:val="00FB7617"/>
    <w:rsid w:val="00FC2026"/>
    <w:rsid w:val="00FC7A20"/>
    <w:rsid w:val="00FE18C4"/>
    <w:rsid w:val="00FE4A1B"/>
    <w:rsid w:val="00FE606B"/>
    <w:rsid w:val="00FE6A24"/>
    <w:rsid w:val="00FE78F6"/>
    <w:rsid w:val="00FF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C7190"/>
  <w15:docId w15:val="{EC926D60-38EC-4D47-AE96-F8BC700A6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75E9"/>
  </w:style>
  <w:style w:type="paragraph" w:styleId="Titolo2">
    <w:name w:val="heading 2"/>
    <w:basedOn w:val="Normale"/>
    <w:link w:val="Titolo2Carattere"/>
    <w:uiPriority w:val="9"/>
    <w:qFormat/>
    <w:rsid w:val="002A01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175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B175E9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175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75E9"/>
  </w:style>
  <w:style w:type="paragraph" w:styleId="NormaleWeb">
    <w:name w:val="Normal (Web)"/>
    <w:basedOn w:val="Normale"/>
    <w:uiPriority w:val="99"/>
    <w:unhideWhenUsed/>
    <w:rsid w:val="00B17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A0104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Enfasigrassetto">
    <w:name w:val="Strong"/>
    <w:basedOn w:val="Carpredefinitoparagrafo"/>
    <w:uiPriority w:val="22"/>
    <w:qFormat/>
    <w:rsid w:val="002A0104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1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1DF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C54440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27BB2"/>
    <w:rPr>
      <w:color w:val="605E5C"/>
      <w:shd w:val="clear" w:color="auto" w:fill="E1DFDD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AD1D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AD1DEC"/>
    <w:rPr>
      <w:rFonts w:ascii="Calibri" w:hAnsi="Calibri" w:cs="Consolas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743B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3B84"/>
  </w:style>
  <w:style w:type="character" w:styleId="Rimandocommento">
    <w:name w:val="annotation reference"/>
    <w:basedOn w:val="Carpredefinitoparagrafo"/>
    <w:uiPriority w:val="99"/>
    <w:semiHidden/>
    <w:unhideWhenUsed/>
    <w:rsid w:val="0036231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231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231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231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2317"/>
    <w:rPr>
      <w:b/>
      <w:bCs/>
      <w:sz w:val="20"/>
      <w:szCs w:val="20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056854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167998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DC312D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D82CB9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4E4099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9370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24max.it" TargetMode="External"/><Relationship Id="rId13" Type="http://schemas.openxmlformats.org/officeDocument/2006/relationships/hyperlink" Target="mailto:info@pinkommunication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24max.it/wp-content/uploads/2022/03/24MAX-CreditReport2022_compressed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24max.it/wp-content/uploads/2022/03/24MAX-CreditReport2022_compressed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24max.it/wp-content/uploads/2022/03/24MAX-CreditReport2022_compressed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max.i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330D1-1BDB-46D2-A324-60B91387D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1715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Premoli</dc:creator>
  <cp:keywords/>
  <dc:description/>
  <cp:lastModifiedBy>Laura Premoli</cp:lastModifiedBy>
  <cp:revision>8</cp:revision>
  <dcterms:created xsi:type="dcterms:W3CDTF">2022-03-11T10:00:00Z</dcterms:created>
  <dcterms:modified xsi:type="dcterms:W3CDTF">2022-03-24T12:15:00Z</dcterms:modified>
</cp:coreProperties>
</file>