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CE9C7" w14:textId="348C110F" w:rsidR="00142412" w:rsidRDefault="00142412" w:rsidP="00142412">
      <w:pPr>
        <w:spacing w:after="0" w:line="276" w:lineRule="auto"/>
        <w:jc w:val="center"/>
        <w:rPr>
          <w:rFonts w:asciiTheme="majorHAnsi" w:hAnsiTheme="majorHAnsi"/>
        </w:rPr>
      </w:pPr>
      <w:r>
        <w:rPr>
          <w:rFonts w:asciiTheme="majorHAnsi" w:hAnsiTheme="majorHAnsi"/>
        </w:rPr>
        <w:t>COMUNICATO STAMPA</w:t>
      </w:r>
    </w:p>
    <w:p w14:paraId="7DB79952" w14:textId="0342CBC4" w:rsidR="00DA70A8" w:rsidRDefault="00DA70A8" w:rsidP="00142412">
      <w:pPr>
        <w:spacing w:after="0" w:line="276" w:lineRule="auto"/>
        <w:jc w:val="center"/>
        <w:rPr>
          <w:rFonts w:asciiTheme="majorHAnsi" w:hAnsiTheme="majorHAnsi"/>
        </w:rPr>
      </w:pPr>
    </w:p>
    <w:p w14:paraId="6EC49661" w14:textId="77777777" w:rsidR="00E800C7" w:rsidRDefault="008632A8" w:rsidP="00396DBC">
      <w:pPr>
        <w:spacing w:after="0" w:line="276" w:lineRule="auto"/>
        <w:jc w:val="center"/>
        <w:rPr>
          <w:rFonts w:asciiTheme="majorHAnsi" w:hAnsiTheme="majorHAnsi"/>
          <w:b/>
          <w:bCs/>
          <w:color w:val="FF0000"/>
          <w:sz w:val="28"/>
          <w:szCs w:val="28"/>
        </w:rPr>
      </w:pPr>
      <w:r w:rsidRPr="00825F91">
        <w:rPr>
          <w:rFonts w:asciiTheme="majorHAnsi" w:hAnsiTheme="majorHAnsi"/>
          <w:b/>
          <w:bCs/>
          <w:color w:val="FF0000"/>
          <w:sz w:val="28"/>
          <w:szCs w:val="28"/>
        </w:rPr>
        <w:t xml:space="preserve">LA </w:t>
      </w:r>
      <w:r w:rsidR="00825F91" w:rsidRPr="00825F91">
        <w:rPr>
          <w:rFonts w:asciiTheme="majorHAnsi" w:hAnsiTheme="majorHAnsi"/>
          <w:b/>
          <w:bCs/>
          <w:color w:val="FF0000"/>
          <w:sz w:val="28"/>
          <w:szCs w:val="28"/>
        </w:rPr>
        <w:t>TRANSIZIONE VERDE</w:t>
      </w:r>
      <w:r w:rsidRPr="00825F91">
        <w:rPr>
          <w:rFonts w:asciiTheme="majorHAnsi" w:hAnsiTheme="majorHAnsi"/>
          <w:b/>
          <w:bCs/>
          <w:color w:val="FF0000"/>
          <w:sz w:val="28"/>
          <w:szCs w:val="28"/>
        </w:rPr>
        <w:t xml:space="preserve"> SARÀ TRA I PRINCIPALI DRIVER </w:t>
      </w:r>
    </w:p>
    <w:p w14:paraId="6E551EB3" w14:textId="06CA09B1" w:rsidR="00396DBC" w:rsidRPr="00825F91" w:rsidRDefault="008632A8" w:rsidP="00396DBC">
      <w:pPr>
        <w:spacing w:after="0" w:line="276" w:lineRule="auto"/>
        <w:jc w:val="center"/>
        <w:rPr>
          <w:rFonts w:asciiTheme="majorHAnsi" w:hAnsiTheme="majorHAnsi"/>
          <w:b/>
          <w:bCs/>
          <w:color w:val="FF0000"/>
          <w:sz w:val="28"/>
          <w:szCs w:val="28"/>
        </w:rPr>
      </w:pPr>
      <w:r w:rsidRPr="00825F91">
        <w:rPr>
          <w:rFonts w:asciiTheme="majorHAnsi" w:hAnsiTheme="majorHAnsi"/>
          <w:b/>
          <w:bCs/>
          <w:color w:val="FF0000"/>
          <w:sz w:val="28"/>
          <w:szCs w:val="28"/>
        </w:rPr>
        <w:t xml:space="preserve">DEL REAL ESTATE PER I PROSSIMI ANNI </w:t>
      </w:r>
    </w:p>
    <w:p w14:paraId="5F945368" w14:textId="1BED79E8" w:rsidR="008632A8" w:rsidRPr="00E800C7" w:rsidRDefault="00703660" w:rsidP="008632A8">
      <w:pPr>
        <w:spacing w:after="0" w:line="276" w:lineRule="auto"/>
        <w:jc w:val="center"/>
        <w:rPr>
          <w:rFonts w:asciiTheme="majorHAnsi" w:hAnsiTheme="majorHAnsi"/>
          <w:b/>
          <w:bCs/>
          <w:i/>
          <w:iCs/>
          <w:color w:val="FF0000"/>
        </w:rPr>
      </w:pPr>
      <w:r w:rsidRPr="00E800C7">
        <w:rPr>
          <w:rFonts w:asciiTheme="majorHAnsi" w:hAnsiTheme="majorHAnsi"/>
          <w:b/>
          <w:bCs/>
          <w:i/>
          <w:iCs/>
          <w:color w:val="FF0000"/>
        </w:rPr>
        <w:t>La crescente importanza dei criteri ESG è una</w:t>
      </w:r>
      <w:r w:rsidR="008632A8" w:rsidRPr="00E800C7">
        <w:rPr>
          <w:rFonts w:asciiTheme="majorHAnsi" w:hAnsiTheme="majorHAnsi"/>
          <w:b/>
          <w:bCs/>
          <w:i/>
          <w:iCs/>
          <w:color w:val="FF0000"/>
        </w:rPr>
        <w:t xml:space="preserve"> delle novità </w:t>
      </w:r>
      <w:r w:rsidRPr="00E800C7">
        <w:rPr>
          <w:rFonts w:asciiTheme="majorHAnsi" w:hAnsiTheme="majorHAnsi"/>
          <w:b/>
          <w:bCs/>
          <w:i/>
          <w:iCs/>
          <w:color w:val="FF0000"/>
        </w:rPr>
        <w:t>che emergono dall’edizione annuale del</w:t>
      </w:r>
      <w:r w:rsidR="008632A8" w:rsidRPr="00E800C7">
        <w:rPr>
          <w:rFonts w:asciiTheme="majorHAnsi" w:hAnsiTheme="majorHAnsi"/>
          <w:b/>
          <w:bCs/>
          <w:i/>
          <w:iCs/>
          <w:color w:val="FF0000"/>
        </w:rPr>
        <w:t xml:space="preserve"> Real Estate DATA HUB</w:t>
      </w:r>
      <w:r w:rsidR="00F03F1E" w:rsidRPr="00E800C7">
        <w:rPr>
          <w:rFonts w:asciiTheme="majorHAnsi" w:hAnsiTheme="majorHAnsi"/>
          <w:b/>
          <w:bCs/>
          <w:i/>
          <w:iCs/>
          <w:color w:val="FF0000"/>
        </w:rPr>
        <w:t>,</w:t>
      </w:r>
      <w:r w:rsidR="008632A8" w:rsidRPr="00E800C7">
        <w:rPr>
          <w:rFonts w:asciiTheme="majorHAnsi" w:hAnsiTheme="majorHAnsi"/>
          <w:b/>
          <w:bCs/>
          <w:i/>
          <w:iCs/>
          <w:color w:val="FF0000"/>
        </w:rPr>
        <w:t xml:space="preserve"> realizzato da RE/MAX Italia, Avalon Real Estate e 24MAX, che offre un’analisi dell’andamento del mercato immobiliare 2021 e delle previsioni per il 2022</w:t>
      </w:r>
    </w:p>
    <w:p w14:paraId="33FA7112" w14:textId="77777777" w:rsidR="00396DBC" w:rsidRPr="002B7EAD" w:rsidRDefault="00396DBC" w:rsidP="00396DBC">
      <w:pPr>
        <w:spacing w:after="0" w:line="276" w:lineRule="auto"/>
        <w:jc w:val="center"/>
        <w:rPr>
          <w:rFonts w:asciiTheme="majorHAnsi" w:hAnsiTheme="majorHAnsi"/>
          <w:b/>
          <w:bCs/>
          <w:sz w:val="24"/>
          <w:szCs w:val="24"/>
          <w:highlight w:val="yellow"/>
        </w:rPr>
      </w:pPr>
    </w:p>
    <w:p w14:paraId="45C066D3" w14:textId="01FC3814" w:rsidR="00CE0A9C" w:rsidRDefault="00410FFA" w:rsidP="00CE0A9C">
      <w:pPr>
        <w:spacing w:after="0" w:line="276" w:lineRule="auto"/>
        <w:jc w:val="both"/>
        <w:rPr>
          <w:rFonts w:asciiTheme="majorHAnsi" w:hAnsiTheme="majorHAnsi"/>
        </w:rPr>
      </w:pPr>
      <w:r>
        <w:rPr>
          <w:rFonts w:asciiTheme="majorHAnsi" w:hAnsiTheme="majorHAnsi"/>
        </w:rPr>
        <w:t>12</w:t>
      </w:r>
      <w:r w:rsidR="00D8611F" w:rsidRPr="00D8611F">
        <w:rPr>
          <w:rFonts w:asciiTheme="majorHAnsi" w:hAnsiTheme="majorHAnsi"/>
        </w:rPr>
        <w:t xml:space="preserve"> maggio 2022</w:t>
      </w:r>
      <w:r w:rsidR="00472735" w:rsidRPr="00D8611F">
        <w:rPr>
          <w:rFonts w:asciiTheme="majorHAnsi" w:hAnsiTheme="majorHAnsi"/>
        </w:rPr>
        <w:t xml:space="preserve"> </w:t>
      </w:r>
      <w:r w:rsidR="000524E7" w:rsidRPr="00D8611F">
        <w:rPr>
          <w:rFonts w:asciiTheme="majorHAnsi" w:hAnsiTheme="majorHAnsi"/>
        </w:rPr>
        <w:t>–</w:t>
      </w:r>
      <w:r w:rsidR="00472735" w:rsidRPr="00D8611F">
        <w:rPr>
          <w:rFonts w:asciiTheme="majorHAnsi" w:hAnsiTheme="majorHAnsi"/>
        </w:rPr>
        <w:t xml:space="preserve"> </w:t>
      </w:r>
      <w:r w:rsidR="00AC03B1" w:rsidRPr="00825F91">
        <w:rPr>
          <w:rFonts w:asciiTheme="majorHAnsi" w:hAnsiTheme="majorHAnsi"/>
          <w:b/>
          <w:bCs/>
        </w:rPr>
        <w:t xml:space="preserve">Il tema della transizione verde è diventato sempre più rilevante </w:t>
      </w:r>
      <w:r w:rsidR="00D62BCE" w:rsidRPr="00825F91">
        <w:rPr>
          <w:rFonts w:asciiTheme="majorHAnsi" w:hAnsiTheme="majorHAnsi"/>
          <w:b/>
          <w:bCs/>
        </w:rPr>
        <w:t>anche per il real estate</w:t>
      </w:r>
      <w:r w:rsidR="00D62BCE" w:rsidRPr="00073DDE">
        <w:rPr>
          <w:rFonts w:asciiTheme="majorHAnsi" w:hAnsiTheme="majorHAnsi"/>
        </w:rPr>
        <w:t xml:space="preserve"> </w:t>
      </w:r>
      <w:r w:rsidR="00545F08" w:rsidRPr="00073DDE">
        <w:rPr>
          <w:rFonts w:asciiTheme="majorHAnsi" w:hAnsiTheme="majorHAnsi"/>
        </w:rPr>
        <w:t xml:space="preserve">dove immobili compliant conformi ai criteri ESG </w:t>
      </w:r>
      <w:r w:rsidR="00D36696" w:rsidRPr="00D36696">
        <w:rPr>
          <w:rFonts w:asciiTheme="majorHAnsi" w:hAnsiTheme="majorHAnsi"/>
        </w:rPr>
        <w:t xml:space="preserve">(acronimo di Environmental, Social e Governance) </w:t>
      </w:r>
      <w:r w:rsidR="00545F08" w:rsidRPr="00073DDE">
        <w:rPr>
          <w:rFonts w:asciiTheme="majorHAnsi" w:hAnsiTheme="majorHAnsi"/>
        </w:rPr>
        <w:t>sono al centro dell’attenzione di gestori, investitori e potenziali conduttori.</w:t>
      </w:r>
      <w:r w:rsidR="00D62BCE" w:rsidRPr="00073DDE">
        <w:rPr>
          <w:rFonts w:asciiTheme="majorHAnsi" w:hAnsiTheme="majorHAnsi"/>
        </w:rPr>
        <w:t xml:space="preserve"> </w:t>
      </w:r>
      <w:r w:rsidR="00D62BCE" w:rsidRPr="00825F91">
        <w:rPr>
          <w:rFonts w:asciiTheme="majorHAnsi" w:hAnsiTheme="majorHAnsi"/>
          <w:b/>
          <w:bCs/>
        </w:rPr>
        <w:t>L’importanza dei parametri di sostenibilità emerge chiaramente dalle analisi raccolte nell</w:t>
      </w:r>
      <w:r w:rsidR="00E82A85" w:rsidRPr="00825F91">
        <w:rPr>
          <w:rFonts w:asciiTheme="majorHAnsi" w:hAnsiTheme="majorHAnsi"/>
          <w:b/>
          <w:bCs/>
        </w:rPr>
        <w:t>’</w:t>
      </w:r>
      <w:r w:rsidR="00D62BCE" w:rsidRPr="00825F91">
        <w:rPr>
          <w:rFonts w:asciiTheme="majorHAnsi" w:hAnsiTheme="majorHAnsi"/>
          <w:b/>
          <w:bCs/>
        </w:rPr>
        <w:t>edizione annuale</w:t>
      </w:r>
      <w:r w:rsidR="00E82A85" w:rsidRPr="00825F91">
        <w:rPr>
          <w:rFonts w:asciiTheme="majorHAnsi" w:hAnsiTheme="majorHAnsi"/>
          <w:b/>
          <w:bCs/>
        </w:rPr>
        <w:t xml:space="preserve"> </w:t>
      </w:r>
      <w:r w:rsidR="00073DDE" w:rsidRPr="00825F91">
        <w:rPr>
          <w:rFonts w:asciiTheme="majorHAnsi" w:hAnsiTheme="majorHAnsi"/>
          <w:b/>
          <w:bCs/>
        </w:rPr>
        <w:t>di</w:t>
      </w:r>
      <w:r w:rsidR="00073DDE" w:rsidRPr="00073DDE">
        <w:rPr>
          <w:rFonts w:asciiTheme="majorHAnsi" w:hAnsiTheme="majorHAnsi"/>
        </w:rPr>
        <w:t xml:space="preserve"> </w:t>
      </w:r>
      <w:hyperlink r:id="rId8" w:history="1">
        <w:r w:rsidR="00D62BCE" w:rsidRPr="00825F91">
          <w:rPr>
            <w:rStyle w:val="Collegamentoipertestuale"/>
            <w:rFonts w:asciiTheme="majorHAnsi" w:hAnsiTheme="majorHAnsi"/>
            <w:b/>
            <w:bCs/>
          </w:rPr>
          <w:t>Real Esta</w:t>
        </w:r>
        <w:r w:rsidR="00E82A85" w:rsidRPr="00825F91">
          <w:rPr>
            <w:rStyle w:val="Collegamentoipertestuale"/>
            <w:rFonts w:asciiTheme="majorHAnsi" w:hAnsiTheme="majorHAnsi"/>
            <w:b/>
            <w:bCs/>
          </w:rPr>
          <w:t>t</w:t>
        </w:r>
        <w:r w:rsidR="00D62BCE" w:rsidRPr="00825F91">
          <w:rPr>
            <w:rStyle w:val="Collegamentoipertestuale"/>
            <w:rFonts w:asciiTheme="majorHAnsi" w:hAnsiTheme="majorHAnsi"/>
            <w:b/>
            <w:bCs/>
          </w:rPr>
          <w:t>e D</w:t>
        </w:r>
        <w:r w:rsidR="00E82A85" w:rsidRPr="00825F91">
          <w:rPr>
            <w:rStyle w:val="Collegamentoipertestuale"/>
            <w:rFonts w:asciiTheme="majorHAnsi" w:hAnsiTheme="majorHAnsi"/>
            <w:b/>
            <w:bCs/>
          </w:rPr>
          <w:t>ATA HUB</w:t>
        </w:r>
      </w:hyperlink>
      <w:r w:rsidR="00D62BCE" w:rsidRPr="00073DDE">
        <w:rPr>
          <w:rFonts w:asciiTheme="majorHAnsi" w:hAnsiTheme="majorHAnsi"/>
        </w:rPr>
        <w:t xml:space="preserve">. </w:t>
      </w:r>
      <w:r w:rsidR="00073DDE" w:rsidRPr="00073DDE">
        <w:rPr>
          <w:rFonts w:asciiTheme="majorHAnsi" w:hAnsiTheme="majorHAnsi"/>
        </w:rPr>
        <w:t>Il</w:t>
      </w:r>
      <w:r w:rsidR="00E82A85" w:rsidRPr="00073DDE">
        <w:rPr>
          <w:rFonts w:asciiTheme="majorHAnsi" w:hAnsiTheme="majorHAnsi"/>
        </w:rPr>
        <w:t xml:space="preserve"> Report </w:t>
      </w:r>
      <w:r w:rsidR="00073DDE" w:rsidRPr="00073DDE">
        <w:rPr>
          <w:rFonts w:asciiTheme="majorHAnsi" w:hAnsiTheme="majorHAnsi"/>
        </w:rPr>
        <w:t xml:space="preserve">registra il </w:t>
      </w:r>
      <w:r w:rsidR="00073DDE" w:rsidRPr="00673975">
        <w:rPr>
          <w:rFonts w:asciiTheme="majorHAnsi" w:hAnsiTheme="majorHAnsi"/>
          <w:b/>
          <w:bCs/>
        </w:rPr>
        <w:t xml:space="preserve">crescente </w:t>
      </w:r>
      <w:r w:rsidR="00E82A85" w:rsidRPr="00673975">
        <w:rPr>
          <w:rFonts w:asciiTheme="majorHAnsi" w:hAnsiTheme="majorHAnsi"/>
          <w:b/>
          <w:bCs/>
        </w:rPr>
        <w:t>interesse per investimenti ESG compliant</w:t>
      </w:r>
      <w:r w:rsidR="00E82A85" w:rsidRPr="00073DDE">
        <w:rPr>
          <w:rFonts w:asciiTheme="majorHAnsi" w:hAnsiTheme="majorHAnsi"/>
        </w:rPr>
        <w:t xml:space="preserve"> </w:t>
      </w:r>
      <w:r w:rsidR="00073DDE" w:rsidRPr="00073DDE">
        <w:rPr>
          <w:rFonts w:asciiTheme="majorHAnsi" w:hAnsiTheme="majorHAnsi"/>
        </w:rPr>
        <w:t xml:space="preserve">che </w:t>
      </w:r>
      <w:r w:rsidR="00E82A85" w:rsidRPr="00073DDE">
        <w:rPr>
          <w:rFonts w:asciiTheme="majorHAnsi" w:hAnsiTheme="majorHAnsi"/>
        </w:rPr>
        <w:t>si sta manifestando in tutti i comparti del real e</w:t>
      </w:r>
      <w:r w:rsidR="00073DDE" w:rsidRPr="00073DDE">
        <w:rPr>
          <w:rFonts w:asciiTheme="majorHAnsi" w:hAnsiTheme="majorHAnsi"/>
        </w:rPr>
        <w:t>s</w:t>
      </w:r>
      <w:r w:rsidR="00E82A85" w:rsidRPr="00073DDE">
        <w:rPr>
          <w:rFonts w:asciiTheme="majorHAnsi" w:hAnsiTheme="majorHAnsi"/>
        </w:rPr>
        <w:t xml:space="preserve">tate e </w:t>
      </w:r>
      <w:r w:rsidR="00073DDE" w:rsidRPr="00073DDE">
        <w:rPr>
          <w:rFonts w:asciiTheme="majorHAnsi" w:hAnsiTheme="majorHAnsi"/>
        </w:rPr>
        <w:t>che</w:t>
      </w:r>
      <w:r w:rsidR="00073DDE">
        <w:rPr>
          <w:rFonts w:asciiTheme="majorHAnsi" w:hAnsiTheme="majorHAnsi"/>
        </w:rPr>
        <w:t xml:space="preserve">, secondo gli esperti, </w:t>
      </w:r>
      <w:r w:rsidR="00E82A85" w:rsidRPr="00673975">
        <w:rPr>
          <w:rFonts w:asciiTheme="majorHAnsi" w:hAnsiTheme="majorHAnsi"/>
          <w:b/>
          <w:bCs/>
        </w:rPr>
        <w:t>costituirà il principale driver del mercato immobiliar</w:t>
      </w:r>
      <w:r w:rsidR="00073DDE" w:rsidRPr="00673975">
        <w:rPr>
          <w:rFonts w:asciiTheme="majorHAnsi" w:hAnsiTheme="majorHAnsi"/>
          <w:b/>
          <w:bCs/>
        </w:rPr>
        <w:t>e</w:t>
      </w:r>
      <w:r w:rsidR="00E82A85" w:rsidRPr="00673975">
        <w:rPr>
          <w:rFonts w:asciiTheme="majorHAnsi" w:hAnsiTheme="majorHAnsi"/>
          <w:b/>
          <w:bCs/>
        </w:rPr>
        <w:t xml:space="preserve"> per i prossimi anni</w:t>
      </w:r>
      <w:r w:rsidR="00E82A85" w:rsidRPr="00073DDE">
        <w:rPr>
          <w:rFonts w:asciiTheme="majorHAnsi" w:hAnsiTheme="majorHAnsi"/>
        </w:rPr>
        <w:t>.</w:t>
      </w:r>
      <w:r w:rsidR="00CE0A9C">
        <w:rPr>
          <w:rFonts w:asciiTheme="majorHAnsi" w:hAnsiTheme="majorHAnsi"/>
        </w:rPr>
        <w:t xml:space="preserve"> Si sta diffondendo</w:t>
      </w:r>
      <w:r w:rsidR="00073DDE">
        <w:rPr>
          <w:rFonts w:asciiTheme="majorHAnsi" w:hAnsiTheme="majorHAnsi"/>
        </w:rPr>
        <w:t>,</w:t>
      </w:r>
      <w:r w:rsidR="00CE0A9C">
        <w:rPr>
          <w:rFonts w:asciiTheme="majorHAnsi" w:hAnsiTheme="majorHAnsi"/>
        </w:rPr>
        <w:t xml:space="preserve"> infatti</w:t>
      </w:r>
      <w:r w:rsidR="00073DDE">
        <w:rPr>
          <w:rFonts w:asciiTheme="majorHAnsi" w:hAnsiTheme="majorHAnsi"/>
        </w:rPr>
        <w:t>,</w:t>
      </w:r>
      <w:r w:rsidR="00CE0A9C">
        <w:rPr>
          <w:rFonts w:asciiTheme="majorHAnsi" w:hAnsiTheme="majorHAnsi"/>
        </w:rPr>
        <w:t xml:space="preserve"> </w:t>
      </w:r>
      <w:r w:rsidR="00CE0A9C" w:rsidRPr="00AC03B1">
        <w:rPr>
          <w:rFonts w:asciiTheme="majorHAnsi" w:hAnsiTheme="majorHAnsi"/>
        </w:rPr>
        <w:t xml:space="preserve">la consapevolezza che esista una differenza </w:t>
      </w:r>
      <w:r w:rsidR="00CE0A9C">
        <w:rPr>
          <w:rFonts w:asciiTheme="majorHAnsi" w:hAnsiTheme="majorHAnsi"/>
        </w:rPr>
        <w:t>di</w:t>
      </w:r>
      <w:r w:rsidR="00CE0A9C" w:rsidRPr="00AC03B1">
        <w:rPr>
          <w:rFonts w:asciiTheme="majorHAnsi" w:hAnsiTheme="majorHAnsi"/>
        </w:rPr>
        <w:t xml:space="preserve"> valore tra immobili ESG compliant e immobili che non lo sono</w:t>
      </w:r>
      <w:r w:rsidR="00CE0A9C">
        <w:rPr>
          <w:rFonts w:asciiTheme="majorHAnsi" w:hAnsiTheme="majorHAnsi"/>
        </w:rPr>
        <w:t xml:space="preserve">: </w:t>
      </w:r>
      <w:r w:rsidR="00CE0A9C" w:rsidRPr="00AC03B1">
        <w:rPr>
          <w:rFonts w:asciiTheme="majorHAnsi" w:hAnsiTheme="majorHAnsi"/>
        </w:rPr>
        <w:t>si tratterebbe non tanto di un “</w:t>
      </w:r>
      <w:r w:rsidR="00CE0A9C" w:rsidRPr="00CE0A9C">
        <w:rPr>
          <w:rFonts w:asciiTheme="majorHAnsi" w:hAnsiTheme="majorHAnsi"/>
          <w:b/>
          <w:bCs/>
        </w:rPr>
        <w:t>green premium</w:t>
      </w:r>
      <w:r w:rsidR="00CE0A9C" w:rsidRPr="00AC03B1">
        <w:rPr>
          <w:rFonts w:asciiTheme="majorHAnsi" w:hAnsiTheme="majorHAnsi"/>
        </w:rPr>
        <w:t>”, cioè di un aumento di valore per gli immobili compliant, quanto più di un “</w:t>
      </w:r>
      <w:r w:rsidR="00CE0A9C" w:rsidRPr="00CE0A9C">
        <w:rPr>
          <w:rFonts w:asciiTheme="majorHAnsi" w:hAnsiTheme="majorHAnsi"/>
          <w:b/>
          <w:bCs/>
        </w:rPr>
        <w:t>brown discount</w:t>
      </w:r>
      <w:r w:rsidR="00CE0A9C" w:rsidRPr="00AC03B1">
        <w:rPr>
          <w:rFonts w:asciiTheme="majorHAnsi" w:hAnsiTheme="majorHAnsi"/>
        </w:rPr>
        <w:t xml:space="preserve">”, cioè di un calo </w:t>
      </w:r>
      <w:r w:rsidR="00073DDE">
        <w:rPr>
          <w:rFonts w:asciiTheme="majorHAnsi" w:hAnsiTheme="majorHAnsi"/>
        </w:rPr>
        <w:t xml:space="preserve">di </w:t>
      </w:r>
      <w:r w:rsidR="00CE0A9C" w:rsidRPr="00AC03B1">
        <w:rPr>
          <w:rFonts w:asciiTheme="majorHAnsi" w:hAnsiTheme="majorHAnsi"/>
        </w:rPr>
        <w:t xml:space="preserve">valore </w:t>
      </w:r>
      <w:r w:rsidR="00073DDE">
        <w:rPr>
          <w:rFonts w:asciiTheme="majorHAnsi" w:hAnsiTheme="majorHAnsi"/>
        </w:rPr>
        <w:t>di quelli</w:t>
      </w:r>
      <w:r w:rsidR="00CE0A9C" w:rsidRPr="00AC03B1">
        <w:rPr>
          <w:rFonts w:asciiTheme="majorHAnsi" w:hAnsiTheme="majorHAnsi"/>
        </w:rPr>
        <w:t xml:space="preserve"> </w:t>
      </w:r>
      <w:r w:rsidR="00CE0A9C">
        <w:rPr>
          <w:rFonts w:asciiTheme="majorHAnsi" w:hAnsiTheme="majorHAnsi"/>
        </w:rPr>
        <w:t>non conformi.</w:t>
      </w:r>
      <w:r w:rsidR="00B40D89">
        <w:rPr>
          <w:rFonts w:asciiTheme="majorHAnsi" w:hAnsiTheme="majorHAnsi"/>
        </w:rPr>
        <w:t xml:space="preserve"> Ciò interess</w:t>
      </w:r>
      <w:r w:rsidR="00073DDE">
        <w:rPr>
          <w:rFonts w:asciiTheme="majorHAnsi" w:hAnsiTheme="majorHAnsi"/>
        </w:rPr>
        <w:t>a</w:t>
      </w:r>
      <w:r w:rsidR="00B40D89">
        <w:rPr>
          <w:rFonts w:asciiTheme="majorHAnsi" w:hAnsiTheme="majorHAnsi"/>
        </w:rPr>
        <w:t xml:space="preserve"> sia le compravendite</w:t>
      </w:r>
      <w:r w:rsidR="00073DDE">
        <w:rPr>
          <w:rFonts w:asciiTheme="majorHAnsi" w:hAnsiTheme="majorHAnsi"/>
        </w:rPr>
        <w:t>,</w:t>
      </w:r>
      <w:r w:rsidR="00B40D89">
        <w:rPr>
          <w:rFonts w:asciiTheme="majorHAnsi" w:hAnsiTheme="majorHAnsi"/>
        </w:rPr>
        <w:t xml:space="preserve"> sia le locazioni, dove e</w:t>
      </w:r>
      <w:r w:rsidR="00B40D89" w:rsidRPr="00FC45E4">
        <w:rPr>
          <w:rFonts w:asciiTheme="majorHAnsi" w:hAnsiTheme="majorHAnsi"/>
        </w:rPr>
        <w:t>ssere ESG compliant sta diventando un prerequisito per poter affittare gli spazi</w:t>
      </w:r>
      <w:r w:rsidR="00B40D89">
        <w:rPr>
          <w:rFonts w:asciiTheme="majorHAnsi" w:hAnsiTheme="majorHAnsi"/>
        </w:rPr>
        <w:t>.</w:t>
      </w:r>
    </w:p>
    <w:p w14:paraId="7EBCD855" w14:textId="77777777" w:rsidR="00073DDE" w:rsidRPr="00AC03B1" w:rsidRDefault="00073DDE" w:rsidP="00CE0A9C">
      <w:pPr>
        <w:spacing w:after="0" w:line="276" w:lineRule="auto"/>
        <w:jc w:val="both"/>
        <w:rPr>
          <w:rFonts w:asciiTheme="majorHAnsi" w:hAnsiTheme="majorHAnsi"/>
        </w:rPr>
      </w:pPr>
    </w:p>
    <w:p w14:paraId="26E9B191" w14:textId="10BB8E61" w:rsidR="003E5366" w:rsidRPr="00AC03B1" w:rsidRDefault="00B40D89" w:rsidP="003E5366">
      <w:pPr>
        <w:spacing w:after="0" w:line="276" w:lineRule="auto"/>
        <w:jc w:val="both"/>
        <w:rPr>
          <w:rFonts w:asciiTheme="majorHAnsi" w:hAnsiTheme="majorHAnsi"/>
        </w:rPr>
      </w:pPr>
      <w:r>
        <w:rPr>
          <w:rFonts w:asciiTheme="majorHAnsi" w:hAnsiTheme="majorHAnsi"/>
        </w:rPr>
        <w:t>Secon</w:t>
      </w:r>
      <w:r w:rsidR="00545F08">
        <w:rPr>
          <w:rFonts w:asciiTheme="majorHAnsi" w:hAnsiTheme="majorHAnsi"/>
        </w:rPr>
        <w:t>d</w:t>
      </w:r>
      <w:r>
        <w:rPr>
          <w:rFonts w:asciiTheme="majorHAnsi" w:hAnsiTheme="majorHAnsi"/>
        </w:rPr>
        <w:t>o le testimonianze raccolte nel Real Estate Data HUB,</w:t>
      </w:r>
      <w:r w:rsidR="00073DDE">
        <w:rPr>
          <w:rFonts w:asciiTheme="majorHAnsi" w:hAnsiTheme="majorHAnsi"/>
        </w:rPr>
        <w:t xml:space="preserve"> realizzato </w:t>
      </w:r>
      <w:r w:rsidR="00073DDE" w:rsidRPr="00862BF1">
        <w:rPr>
          <w:rFonts w:asciiTheme="majorHAnsi" w:hAnsiTheme="majorHAnsi"/>
        </w:rPr>
        <w:t xml:space="preserve">da Centro Studi </w:t>
      </w:r>
      <w:hyperlink r:id="rId9" w:history="1">
        <w:r w:rsidR="00073DDE" w:rsidRPr="00862BF1">
          <w:rPr>
            <w:rStyle w:val="Collegamentoipertestuale"/>
            <w:rFonts w:asciiTheme="majorHAnsi" w:hAnsiTheme="majorHAnsi"/>
            <w:b/>
            <w:bCs/>
          </w:rPr>
          <w:t>RE/MAX Italia</w:t>
        </w:r>
      </w:hyperlink>
      <w:r w:rsidR="00073DDE" w:rsidRPr="00862BF1">
        <w:rPr>
          <w:rFonts w:asciiTheme="majorHAnsi" w:hAnsiTheme="majorHAnsi"/>
        </w:rPr>
        <w:t xml:space="preserve">, </w:t>
      </w:r>
      <w:hyperlink r:id="rId10" w:history="1">
        <w:r w:rsidR="00073DDE" w:rsidRPr="00862BF1">
          <w:rPr>
            <w:rStyle w:val="Collegamentoipertestuale"/>
            <w:rFonts w:asciiTheme="majorHAnsi" w:hAnsiTheme="majorHAnsi"/>
            <w:b/>
            <w:bCs/>
          </w:rPr>
          <w:t>Avalon Real Estate</w:t>
        </w:r>
      </w:hyperlink>
      <w:r w:rsidR="00073DDE" w:rsidRPr="00862BF1">
        <w:rPr>
          <w:rStyle w:val="Collegamentoipertestuale"/>
          <w:rFonts w:asciiTheme="majorHAnsi" w:hAnsiTheme="majorHAnsi"/>
          <w:b/>
          <w:bCs/>
          <w:u w:val="none"/>
        </w:rPr>
        <w:t xml:space="preserve"> </w:t>
      </w:r>
      <w:r w:rsidR="00073DDE" w:rsidRPr="00862BF1">
        <w:rPr>
          <w:rFonts w:asciiTheme="majorHAnsi" w:hAnsiTheme="majorHAnsi"/>
        </w:rPr>
        <w:t xml:space="preserve">e Ufficio Studi </w:t>
      </w:r>
      <w:hyperlink r:id="rId11" w:history="1">
        <w:r w:rsidR="00073DDE" w:rsidRPr="00862BF1">
          <w:rPr>
            <w:rStyle w:val="Collegamentoipertestuale"/>
            <w:rFonts w:asciiTheme="majorHAnsi" w:hAnsiTheme="majorHAnsi"/>
            <w:b/>
            <w:bCs/>
          </w:rPr>
          <w:t>24MAX</w:t>
        </w:r>
      </w:hyperlink>
      <w:r w:rsidR="00073DDE" w:rsidRPr="00862BF1">
        <w:rPr>
          <w:rFonts w:asciiTheme="majorHAnsi" w:hAnsiTheme="majorHAnsi"/>
        </w:rPr>
        <w:t xml:space="preserve">, </w:t>
      </w:r>
      <w:r w:rsidRPr="00673975">
        <w:rPr>
          <w:rFonts w:asciiTheme="majorHAnsi" w:hAnsiTheme="majorHAnsi"/>
          <w:b/>
          <w:bCs/>
        </w:rPr>
        <w:t>le certificazioni ESG da “nice to have” stanno diventando un “must have”</w:t>
      </w:r>
      <w:r w:rsidR="00545F08">
        <w:rPr>
          <w:rFonts w:asciiTheme="majorHAnsi" w:hAnsiTheme="majorHAnsi"/>
        </w:rPr>
        <w:t xml:space="preserve"> che riguarda non più solo </w:t>
      </w:r>
      <w:r w:rsidRPr="00FC45E4">
        <w:rPr>
          <w:rFonts w:asciiTheme="majorHAnsi" w:hAnsiTheme="majorHAnsi"/>
        </w:rPr>
        <w:t xml:space="preserve">l’Environment, ma </w:t>
      </w:r>
      <w:r w:rsidR="00545F08">
        <w:rPr>
          <w:rFonts w:asciiTheme="majorHAnsi" w:hAnsiTheme="majorHAnsi"/>
        </w:rPr>
        <w:t xml:space="preserve">anche </w:t>
      </w:r>
      <w:r w:rsidRPr="00FC45E4">
        <w:rPr>
          <w:rFonts w:asciiTheme="majorHAnsi" w:hAnsiTheme="majorHAnsi"/>
        </w:rPr>
        <w:t xml:space="preserve">aspetti Social e di Governance. </w:t>
      </w:r>
      <w:r w:rsidR="003E5366" w:rsidRPr="00073DDE">
        <w:rPr>
          <w:rFonts w:asciiTheme="majorHAnsi" w:hAnsiTheme="majorHAnsi"/>
        </w:rPr>
        <w:t>S</w:t>
      </w:r>
      <w:r w:rsidR="008833DC" w:rsidRPr="00073DDE">
        <w:rPr>
          <w:rFonts w:asciiTheme="majorHAnsi" w:hAnsiTheme="majorHAnsi"/>
        </w:rPr>
        <w:t>ul fronte ambientale</w:t>
      </w:r>
      <w:r w:rsidR="003E5366" w:rsidRPr="00073DDE">
        <w:rPr>
          <w:rFonts w:asciiTheme="majorHAnsi" w:hAnsiTheme="majorHAnsi"/>
        </w:rPr>
        <w:t>,</w:t>
      </w:r>
      <w:r w:rsidR="008833DC" w:rsidRPr="00073DDE">
        <w:rPr>
          <w:rFonts w:asciiTheme="majorHAnsi" w:hAnsiTheme="majorHAnsi"/>
        </w:rPr>
        <w:t xml:space="preserve"> </w:t>
      </w:r>
      <w:r w:rsidR="003E5366" w:rsidRPr="00073DDE">
        <w:rPr>
          <w:rFonts w:asciiTheme="majorHAnsi" w:hAnsiTheme="majorHAnsi"/>
        </w:rPr>
        <w:t>l’attenzione è puntata sul cambiamento climatico, il contenimento delle emissioni, l’efficiente utilizzo delle risorse naturali, la corretta gestione dei r</w:t>
      </w:r>
      <w:r w:rsidR="008833DC" w:rsidRPr="00073DDE">
        <w:rPr>
          <w:rFonts w:asciiTheme="majorHAnsi" w:hAnsiTheme="majorHAnsi"/>
        </w:rPr>
        <w:t>ifiuti</w:t>
      </w:r>
      <w:r w:rsidR="00D35D69">
        <w:rPr>
          <w:rFonts w:asciiTheme="majorHAnsi" w:hAnsiTheme="majorHAnsi"/>
        </w:rPr>
        <w:t xml:space="preserve"> e</w:t>
      </w:r>
      <w:r w:rsidR="008833DC" w:rsidRPr="00073DDE">
        <w:rPr>
          <w:rFonts w:asciiTheme="majorHAnsi" w:hAnsiTheme="majorHAnsi"/>
        </w:rPr>
        <w:t xml:space="preserve"> la rendicontazione trasparen</w:t>
      </w:r>
      <w:r w:rsidR="00073DDE" w:rsidRPr="00073DDE">
        <w:rPr>
          <w:rFonts w:asciiTheme="majorHAnsi" w:hAnsiTheme="majorHAnsi"/>
        </w:rPr>
        <w:t>te</w:t>
      </w:r>
      <w:r w:rsidR="008833DC" w:rsidRPr="00073DDE">
        <w:rPr>
          <w:rFonts w:asciiTheme="majorHAnsi" w:hAnsiTheme="majorHAnsi"/>
        </w:rPr>
        <w:t xml:space="preserve"> di questi aspetti</w:t>
      </w:r>
      <w:r w:rsidR="003E5366" w:rsidRPr="00073DDE">
        <w:rPr>
          <w:rFonts w:asciiTheme="majorHAnsi" w:hAnsiTheme="majorHAnsi"/>
        </w:rPr>
        <w:t>. I</w:t>
      </w:r>
      <w:r w:rsidR="008833DC" w:rsidRPr="00073DDE">
        <w:rPr>
          <w:rFonts w:asciiTheme="majorHAnsi" w:hAnsiTheme="majorHAnsi"/>
        </w:rPr>
        <w:t>n ambito sociale</w:t>
      </w:r>
      <w:r w:rsidR="00073DDE">
        <w:rPr>
          <w:rFonts w:asciiTheme="majorHAnsi" w:hAnsiTheme="majorHAnsi"/>
        </w:rPr>
        <w:t>,</w:t>
      </w:r>
      <w:r w:rsidR="003E5366" w:rsidRPr="00073DDE">
        <w:rPr>
          <w:rFonts w:asciiTheme="majorHAnsi" w:hAnsiTheme="majorHAnsi"/>
        </w:rPr>
        <w:t xml:space="preserve"> gli interventi riguardano</w:t>
      </w:r>
      <w:r w:rsidR="008833DC" w:rsidRPr="00073DDE">
        <w:rPr>
          <w:rFonts w:asciiTheme="majorHAnsi" w:hAnsiTheme="majorHAnsi"/>
        </w:rPr>
        <w:t xml:space="preserve"> la sicurezza e </w:t>
      </w:r>
      <w:r w:rsidR="003E5366" w:rsidRPr="00073DDE">
        <w:rPr>
          <w:rFonts w:asciiTheme="majorHAnsi" w:hAnsiTheme="majorHAnsi"/>
        </w:rPr>
        <w:t>la s</w:t>
      </w:r>
      <w:r w:rsidR="008833DC" w:rsidRPr="00073DDE">
        <w:rPr>
          <w:rFonts w:asciiTheme="majorHAnsi" w:hAnsiTheme="majorHAnsi"/>
        </w:rPr>
        <w:t xml:space="preserve">alubrità </w:t>
      </w:r>
      <w:r w:rsidR="003E5366" w:rsidRPr="00073DDE">
        <w:rPr>
          <w:rFonts w:asciiTheme="majorHAnsi" w:hAnsiTheme="majorHAnsi"/>
        </w:rPr>
        <w:t xml:space="preserve">degli ambienti </w:t>
      </w:r>
      <w:r w:rsidR="008833DC" w:rsidRPr="00073DDE">
        <w:rPr>
          <w:rFonts w:asciiTheme="majorHAnsi" w:hAnsiTheme="majorHAnsi"/>
        </w:rPr>
        <w:t>di lavoro</w:t>
      </w:r>
      <w:r w:rsidR="003E5366" w:rsidRPr="00073DDE">
        <w:rPr>
          <w:rFonts w:asciiTheme="majorHAnsi" w:hAnsiTheme="majorHAnsi"/>
        </w:rPr>
        <w:t xml:space="preserve"> e</w:t>
      </w:r>
      <w:r w:rsidR="008833DC" w:rsidRPr="00073DDE">
        <w:rPr>
          <w:rFonts w:asciiTheme="majorHAnsi" w:hAnsiTheme="majorHAnsi"/>
        </w:rPr>
        <w:t xml:space="preserve"> il rispetto dei diritti umani</w:t>
      </w:r>
      <w:r w:rsidR="003E5366" w:rsidRPr="00073DDE">
        <w:rPr>
          <w:rFonts w:asciiTheme="majorHAnsi" w:hAnsiTheme="majorHAnsi"/>
        </w:rPr>
        <w:t xml:space="preserve">. Infine, </w:t>
      </w:r>
      <w:r w:rsidR="00650EE3" w:rsidRPr="00073DDE">
        <w:rPr>
          <w:rFonts w:asciiTheme="majorHAnsi" w:hAnsiTheme="majorHAnsi"/>
        </w:rPr>
        <w:t>per la governance</w:t>
      </w:r>
      <w:r w:rsidR="00073DDE">
        <w:rPr>
          <w:rFonts w:asciiTheme="majorHAnsi" w:hAnsiTheme="majorHAnsi"/>
        </w:rPr>
        <w:t>,</w:t>
      </w:r>
      <w:r w:rsidR="00650EE3" w:rsidRPr="00073DDE">
        <w:rPr>
          <w:rFonts w:asciiTheme="majorHAnsi" w:hAnsiTheme="majorHAnsi"/>
        </w:rPr>
        <w:t xml:space="preserve"> i requisiti sono relativi a</w:t>
      </w:r>
      <w:r w:rsidR="003E5366" w:rsidRPr="00073DDE">
        <w:rPr>
          <w:rFonts w:asciiTheme="majorHAnsi" w:hAnsiTheme="majorHAnsi"/>
        </w:rPr>
        <w:t xml:space="preserve">lle strategie di </w:t>
      </w:r>
      <w:r w:rsidR="00B042FF">
        <w:rPr>
          <w:rFonts w:asciiTheme="majorHAnsi" w:hAnsiTheme="majorHAnsi"/>
        </w:rPr>
        <w:t>gestione</w:t>
      </w:r>
      <w:r w:rsidR="003E5366" w:rsidRPr="00073DDE">
        <w:rPr>
          <w:rFonts w:asciiTheme="majorHAnsi" w:hAnsiTheme="majorHAnsi"/>
        </w:rPr>
        <w:t xml:space="preserve"> </w:t>
      </w:r>
      <w:r w:rsidR="00650EE3" w:rsidRPr="00073DDE">
        <w:rPr>
          <w:rFonts w:asciiTheme="majorHAnsi" w:hAnsiTheme="majorHAnsi"/>
        </w:rPr>
        <w:t>degli asset</w:t>
      </w:r>
      <w:r w:rsidR="003E5366" w:rsidRPr="00073DDE">
        <w:rPr>
          <w:rFonts w:asciiTheme="majorHAnsi" w:hAnsiTheme="majorHAnsi"/>
        </w:rPr>
        <w:t>.</w:t>
      </w:r>
      <w:r w:rsidR="003E5366" w:rsidRPr="00AC03B1">
        <w:rPr>
          <w:rFonts w:asciiTheme="majorHAnsi" w:hAnsiTheme="majorHAnsi"/>
        </w:rPr>
        <w:t xml:space="preserve"> </w:t>
      </w:r>
    </w:p>
    <w:p w14:paraId="0714A105" w14:textId="77777777" w:rsidR="00073DDE" w:rsidRDefault="00073DDE" w:rsidP="00650EE3">
      <w:pPr>
        <w:spacing w:after="0" w:line="276" w:lineRule="auto"/>
        <w:jc w:val="both"/>
        <w:rPr>
          <w:rFonts w:asciiTheme="majorHAnsi" w:hAnsiTheme="majorHAnsi"/>
        </w:rPr>
      </w:pPr>
    </w:p>
    <w:p w14:paraId="67A177BB" w14:textId="566D3D7E" w:rsidR="00650EE3" w:rsidRPr="00AC03B1" w:rsidRDefault="00073DDE" w:rsidP="00650EE3">
      <w:pPr>
        <w:spacing w:after="0" w:line="276" w:lineRule="auto"/>
        <w:jc w:val="both"/>
        <w:rPr>
          <w:rFonts w:asciiTheme="majorHAnsi" w:hAnsiTheme="majorHAnsi"/>
        </w:rPr>
      </w:pPr>
      <w:r w:rsidRPr="00673975">
        <w:rPr>
          <w:rFonts w:asciiTheme="majorHAnsi" w:hAnsiTheme="majorHAnsi"/>
          <w:b/>
          <w:bCs/>
        </w:rPr>
        <w:t>Nel mercato</w:t>
      </w:r>
      <w:r w:rsidR="00650EE3" w:rsidRPr="00673975">
        <w:rPr>
          <w:rFonts w:asciiTheme="majorHAnsi" w:hAnsiTheme="majorHAnsi"/>
          <w:b/>
          <w:bCs/>
        </w:rPr>
        <w:t xml:space="preserve"> immobiliare queste tendenze si ri</w:t>
      </w:r>
      <w:r w:rsidR="00CE0A9C" w:rsidRPr="00673975">
        <w:rPr>
          <w:rFonts w:asciiTheme="majorHAnsi" w:hAnsiTheme="majorHAnsi"/>
          <w:b/>
          <w:bCs/>
        </w:rPr>
        <w:t>fle</w:t>
      </w:r>
      <w:r w:rsidR="00650EE3" w:rsidRPr="00673975">
        <w:rPr>
          <w:rFonts w:asciiTheme="majorHAnsi" w:hAnsiTheme="majorHAnsi"/>
          <w:b/>
          <w:bCs/>
        </w:rPr>
        <w:t>ttono in una sempre maggiore attenzione degli investitori alla qualità degli immobili, con richieste di reportistiche puntuali sulle prestazioni in termini di criteri ESG</w:t>
      </w:r>
      <w:r>
        <w:rPr>
          <w:rFonts w:asciiTheme="majorHAnsi" w:hAnsiTheme="majorHAnsi"/>
        </w:rPr>
        <w:t>.</w:t>
      </w:r>
      <w:r w:rsidR="00650EE3">
        <w:rPr>
          <w:rFonts w:asciiTheme="majorHAnsi" w:hAnsiTheme="majorHAnsi"/>
        </w:rPr>
        <w:t xml:space="preserve"> </w:t>
      </w:r>
      <w:r>
        <w:rPr>
          <w:rFonts w:asciiTheme="majorHAnsi" w:hAnsiTheme="majorHAnsi"/>
        </w:rPr>
        <w:t>A</w:t>
      </w:r>
      <w:r w:rsidR="00650EE3">
        <w:rPr>
          <w:rFonts w:asciiTheme="majorHAnsi" w:hAnsiTheme="majorHAnsi"/>
        </w:rPr>
        <w:t xml:space="preserve">lcuni </w:t>
      </w:r>
      <w:r>
        <w:rPr>
          <w:rFonts w:asciiTheme="majorHAnsi" w:hAnsiTheme="majorHAnsi"/>
        </w:rPr>
        <w:t>di quest</w:t>
      </w:r>
      <w:r w:rsidR="00673975">
        <w:rPr>
          <w:rFonts w:asciiTheme="majorHAnsi" w:hAnsiTheme="majorHAnsi"/>
        </w:rPr>
        <w:t>i</w:t>
      </w:r>
      <w:r>
        <w:rPr>
          <w:rFonts w:asciiTheme="majorHAnsi" w:hAnsiTheme="majorHAnsi"/>
        </w:rPr>
        <w:t>, da marzo 2021,</w:t>
      </w:r>
      <w:r w:rsidR="00650EE3">
        <w:rPr>
          <w:rFonts w:asciiTheme="majorHAnsi" w:hAnsiTheme="majorHAnsi"/>
        </w:rPr>
        <w:t xml:space="preserve"> sono </w:t>
      </w:r>
      <w:r>
        <w:rPr>
          <w:rFonts w:asciiTheme="majorHAnsi" w:hAnsiTheme="majorHAnsi"/>
        </w:rPr>
        <w:t>disciplinati</w:t>
      </w:r>
      <w:r w:rsidR="00650EE3">
        <w:rPr>
          <w:rFonts w:asciiTheme="majorHAnsi" w:hAnsiTheme="majorHAnsi"/>
        </w:rPr>
        <w:t xml:space="preserve"> dal nuovo </w:t>
      </w:r>
      <w:r w:rsidR="00650EE3" w:rsidRPr="00AC03B1">
        <w:rPr>
          <w:rFonts w:asciiTheme="majorHAnsi" w:hAnsiTheme="majorHAnsi"/>
        </w:rPr>
        <w:t>Regolamento sulla disclosure in materia di sostenibilità relativa al settore dei servizi finanziari (Sustainable Finance Disclosure Regulation)</w:t>
      </w:r>
      <w:r w:rsidR="00CE0A9C">
        <w:rPr>
          <w:rFonts w:asciiTheme="majorHAnsi" w:hAnsiTheme="majorHAnsi"/>
        </w:rPr>
        <w:t xml:space="preserve">, </w:t>
      </w:r>
      <w:r w:rsidR="00650EE3" w:rsidRPr="00AC03B1">
        <w:rPr>
          <w:rFonts w:asciiTheme="majorHAnsi" w:hAnsiTheme="majorHAnsi"/>
        </w:rPr>
        <w:t xml:space="preserve">che </w:t>
      </w:r>
      <w:r>
        <w:rPr>
          <w:rFonts w:asciiTheme="majorHAnsi" w:hAnsiTheme="majorHAnsi"/>
        </w:rPr>
        <w:t>obbliga</w:t>
      </w:r>
      <w:r w:rsidR="00650EE3" w:rsidRPr="00AC03B1">
        <w:rPr>
          <w:rFonts w:asciiTheme="majorHAnsi" w:hAnsiTheme="majorHAnsi"/>
        </w:rPr>
        <w:t xml:space="preserve"> i soggetti del mercato finanziario </w:t>
      </w:r>
      <w:r>
        <w:rPr>
          <w:rFonts w:asciiTheme="majorHAnsi" w:hAnsiTheme="majorHAnsi"/>
        </w:rPr>
        <w:t>a divulgare</w:t>
      </w:r>
      <w:r w:rsidR="00650EE3" w:rsidRPr="00AC03B1">
        <w:rPr>
          <w:rFonts w:asciiTheme="majorHAnsi" w:hAnsiTheme="majorHAnsi"/>
        </w:rPr>
        <w:t xml:space="preserve"> agli investitori </w:t>
      </w:r>
      <w:r w:rsidR="00CE0A9C">
        <w:rPr>
          <w:rFonts w:asciiTheme="majorHAnsi" w:hAnsiTheme="majorHAnsi"/>
        </w:rPr>
        <w:t>i</w:t>
      </w:r>
      <w:r w:rsidR="00650EE3" w:rsidRPr="00AC03B1">
        <w:rPr>
          <w:rFonts w:asciiTheme="majorHAnsi" w:hAnsiTheme="majorHAnsi"/>
        </w:rPr>
        <w:t xml:space="preserve">nformazioni </w:t>
      </w:r>
      <w:r w:rsidR="00CE0A9C">
        <w:rPr>
          <w:rFonts w:asciiTheme="majorHAnsi" w:hAnsiTheme="majorHAnsi"/>
        </w:rPr>
        <w:t>sui</w:t>
      </w:r>
      <w:r w:rsidR="00650EE3" w:rsidRPr="00AC03B1">
        <w:rPr>
          <w:rFonts w:asciiTheme="majorHAnsi" w:hAnsiTheme="majorHAnsi"/>
        </w:rPr>
        <w:t xml:space="preserve"> parametri ESG</w:t>
      </w:r>
      <w:r w:rsidR="00CE0A9C">
        <w:rPr>
          <w:rFonts w:asciiTheme="majorHAnsi" w:hAnsiTheme="majorHAnsi"/>
        </w:rPr>
        <w:t xml:space="preserve">. L’obiettivo è </w:t>
      </w:r>
      <w:r w:rsidR="00650EE3" w:rsidRPr="00AC03B1">
        <w:rPr>
          <w:rFonts w:asciiTheme="majorHAnsi" w:hAnsiTheme="majorHAnsi"/>
        </w:rPr>
        <w:t>armonizzare le regole a livello europeo</w:t>
      </w:r>
      <w:r w:rsidR="00CE0A9C">
        <w:rPr>
          <w:rFonts w:asciiTheme="majorHAnsi" w:hAnsiTheme="majorHAnsi"/>
        </w:rPr>
        <w:t xml:space="preserve">, rendendo </w:t>
      </w:r>
      <w:r w:rsidR="00650EE3" w:rsidRPr="00AC03B1">
        <w:rPr>
          <w:rFonts w:asciiTheme="majorHAnsi" w:hAnsiTheme="majorHAnsi"/>
        </w:rPr>
        <w:t>omogenee le informazioni</w:t>
      </w:r>
      <w:r w:rsidR="00650EE3">
        <w:rPr>
          <w:rFonts w:asciiTheme="majorHAnsi" w:hAnsiTheme="majorHAnsi"/>
        </w:rPr>
        <w:t xml:space="preserve"> </w:t>
      </w:r>
      <w:r w:rsidR="00650EE3" w:rsidRPr="00AC03B1">
        <w:rPr>
          <w:rFonts w:asciiTheme="majorHAnsi" w:hAnsiTheme="majorHAnsi"/>
        </w:rPr>
        <w:t xml:space="preserve">da comunicare relative ai temi di sostenibilità. </w:t>
      </w:r>
    </w:p>
    <w:p w14:paraId="74AB7083" w14:textId="152E7599" w:rsidR="009C030B" w:rsidRDefault="009C030B" w:rsidP="009C030B">
      <w:pPr>
        <w:spacing w:after="0" w:line="276" w:lineRule="auto"/>
        <w:jc w:val="both"/>
        <w:rPr>
          <w:rFonts w:asciiTheme="majorHAnsi" w:hAnsiTheme="majorHAnsi"/>
        </w:rPr>
      </w:pPr>
      <w:r>
        <w:rPr>
          <w:rFonts w:asciiTheme="majorHAnsi" w:hAnsiTheme="majorHAnsi"/>
        </w:rPr>
        <w:t xml:space="preserve">I </w:t>
      </w:r>
      <w:r w:rsidRPr="00673C29">
        <w:rPr>
          <w:rFonts w:asciiTheme="majorHAnsi" w:hAnsiTheme="majorHAnsi"/>
        </w:rPr>
        <w:t>driver ESG consentono una maggiore commerciabilità dell’immobile e premium price; invece</w:t>
      </w:r>
      <w:r w:rsidR="006D0E04">
        <w:rPr>
          <w:rFonts w:asciiTheme="majorHAnsi" w:hAnsiTheme="majorHAnsi"/>
        </w:rPr>
        <w:t>,</w:t>
      </w:r>
      <w:r w:rsidRPr="00673C29">
        <w:rPr>
          <w:rFonts w:asciiTheme="majorHAnsi" w:hAnsiTheme="majorHAnsi"/>
        </w:rPr>
        <w:t xml:space="preserve"> per chi acquista asset value added le certificazioni non sono un requisito necessario, in quanto proprio l’intervento di riqualificazione </w:t>
      </w:r>
      <w:r w:rsidR="006D0E04">
        <w:rPr>
          <w:rFonts w:asciiTheme="majorHAnsi" w:hAnsiTheme="majorHAnsi"/>
        </w:rPr>
        <w:t>permetterà</w:t>
      </w:r>
      <w:bookmarkStart w:id="0" w:name="_GoBack"/>
      <w:bookmarkEnd w:id="0"/>
      <w:r w:rsidRPr="00673C29">
        <w:rPr>
          <w:rFonts w:asciiTheme="majorHAnsi" w:hAnsiTheme="majorHAnsi"/>
        </w:rPr>
        <w:t xml:space="preserve"> di riposizionare l’immobile sul mercato conferendogli maggiori requisiti dal punto di vista delle prestazioni.</w:t>
      </w:r>
    </w:p>
    <w:p w14:paraId="700834DE" w14:textId="77777777" w:rsidR="009C030B" w:rsidRDefault="009C030B" w:rsidP="009C030B">
      <w:pPr>
        <w:spacing w:after="0" w:line="276" w:lineRule="auto"/>
        <w:jc w:val="both"/>
        <w:rPr>
          <w:rFonts w:asciiTheme="majorHAnsi" w:hAnsiTheme="majorHAnsi"/>
        </w:rPr>
      </w:pPr>
    </w:p>
    <w:p w14:paraId="1A34CECE" w14:textId="710E1E8F" w:rsidR="009C030B" w:rsidRDefault="00073DDE" w:rsidP="00D36696">
      <w:pPr>
        <w:spacing w:after="0" w:line="276" w:lineRule="auto"/>
        <w:jc w:val="both"/>
        <w:rPr>
          <w:rFonts w:asciiTheme="majorHAnsi" w:hAnsiTheme="majorHAnsi"/>
        </w:rPr>
      </w:pPr>
      <w:r w:rsidRPr="00673975">
        <w:rPr>
          <w:rFonts w:asciiTheme="majorHAnsi" w:hAnsiTheme="majorHAnsi"/>
          <w:b/>
          <w:bCs/>
        </w:rPr>
        <w:t>La transizione verde sta interessando in particolar modo due comparti dell’immobiliare: il logistico e il direzionale.</w:t>
      </w:r>
      <w:r>
        <w:rPr>
          <w:rFonts w:asciiTheme="majorHAnsi" w:hAnsiTheme="majorHAnsi"/>
        </w:rPr>
        <w:t xml:space="preserve"> </w:t>
      </w:r>
      <w:r w:rsidR="00396536">
        <w:rPr>
          <w:rFonts w:asciiTheme="majorHAnsi" w:hAnsiTheme="majorHAnsi"/>
        </w:rPr>
        <w:t xml:space="preserve">In </w:t>
      </w:r>
      <w:r w:rsidR="00396536" w:rsidRPr="00673975">
        <w:rPr>
          <w:rFonts w:asciiTheme="majorHAnsi" w:hAnsiTheme="majorHAnsi"/>
          <w:b/>
          <w:bCs/>
        </w:rPr>
        <w:t>ambito logistico</w:t>
      </w:r>
      <w:r w:rsidR="00396536">
        <w:rPr>
          <w:rFonts w:asciiTheme="majorHAnsi" w:hAnsiTheme="majorHAnsi"/>
        </w:rPr>
        <w:t xml:space="preserve"> </w:t>
      </w:r>
      <w:r w:rsidR="00D36696">
        <w:rPr>
          <w:rFonts w:asciiTheme="majorHAnsi" w:hAnsiTheme="majorHAnsi"/>
        </w:rPr>
        <w:t>l</w:t>
      </w:r>
      <w:r w:rsidR="00D36696" w:rsidRPr="00FC45E4">
        <w:rPr>
          <w:rFonts w:asciiTheme="majorHAnsi" w:hAnsiTheme="majorHAnsi"/>
        </w:rPr>
        <w:t xml:space="preserve">’efficientamento energetico non si limita a sviluppare immobili </w:t>
      </w:r>
      <w:r w:rsidR="00D36696">
        <w:rPr>
          <w:rFonts w:asciiTheme="majorHAnsi" w:hAnsiTheme="majorHAnsi"/>
        </w:rPr>
        <w:t xml:space="preserve">conformi a </w:t>
      </w:r>
      <w:r w:rsidR="00D36696" w:rsidRPr="00FC45E4">
        <w:rPr>
          <w:rFonts w:asciiTheme="majorHAnsi" w:hAnsiTheme="majorHAnsi"/>
        </w:rPr>
        <w:t>determinati standard che permettano di ottenere certificazioni, ma</w:t>
      </w:r>
      <w:r w:rsidR="00D36696">
        <w:rPr>
          <w:rFonts w:asciiTheme="majorHAnsi" w:hAnsiTheme="majorHAnsi"/>
        </w:rPr>
        <w:t xml:space="preserve"> </w:t>
      </w:r>
      <w:r w:rsidR="00D36696" w:rsidRPr="00FC45E4">
        <w:rPr>
          <w:rFonts w:asciiTheme="majorHAnsi" w:hAnsiTheme="majorHAnsi"/>
        </w:rPr>
        <w:t xml:space="preserve">riguarda diverse soluzioni: interventi diretti sugli edifici come isolamento termico, sistemi efficienti di areazione interna, green wall, vasche di laminazione per il controllo del consumo di acqua potabile e pannelli fotovoltaici. Il tema della sostenibilità si </w:t>
      </w:r>
      <w:r w:rsidR="00D36696" w:rsidRPr="00FC45E4">
        <w:rPr>
          <w:rFonts w:asciiTheme="majorHAnsi" w:hAnsiTheme="majorHAnsi"/>
        </w:rPr>
        <w:lastRenderedPageBreak/>
        <w:t xml:space="preserve">declina anche nella rigenerazione urbana </w:t>
      </w:r>
      <w:r w:rsidR="00D36696">
        <w:rPr>
          <w:rFonts w:asciiTheme="majorHAnsi" w:hAnsiTheme="majorHAnsi"/>
        </w:rPr>
        <w:t>nella riqualificazione di are</w:t>
      </w:r>
      <w:r w:rsidR="00D36696" w:rsidRPr="00FC45E4">
        <w:rPr>
          <w:rFonts w:asciiTheme="majorHAnsi" w:hAnsiTheme="majorHAnsi"/>
        </w:rPr>
        <w:t>e di scarso pregio o degradate nelle zone periferiche delle città.</w:t>
      </w:r>
      <w:r w:rsidR="00E800C7">
        <w:rPr>
          <w:rFonts w:asciiTheme="majorHAnsi" w:hAnsiTheme="majorHAnsi"/>
        </w:rPr>
        <w:t xml:space="preserve"> </w:t>
      </w:r>
      <w:r w:rsidR="00D36696">
        <w:rPr>
          <w:rFonts w:asciiTheme="majorHAnsi" w:hAnsiTheme="majorHAnsi"/>
        </w:rPr>
        <w:t xml:space="preserve">Nel </w:t>
      </w:r>
      <w:r w:rsidR="00D36696" w:rsidRPr="00673975">
        <w:rPr>
          <w:rFonts w:asciiTheme="majorHAnsi" w:hAnsiTheme="majorHAnsi"/>
          <w:b/>
          <w:bCs/>
        </w:rPr>
        <w:t>comparto direzionale</w:t>
      </w:r>
      <w:r w:rsidR="00D36696">
        <w:rPr>
          <w:rFonts w:asciiTheme="majorHAnsi" w:hAnsiTheme="majorHAnsi"/>
        </w:rPr>
        <w:t xml:space="preserve"> particolare attenzione viene data </w:t>
      </w:r>
      <w:r w:rsidR="00673C29" w:rsidRPr="00673C29">
        <w:rPr>
          <w:rFonts w:asciiTheme="majorHAnsi" w:hAnsiTheme="majorHAnsi"/>
        </w:rPr>
        <w:t xml:space="preserve">all’impatto dei beni immobili a livello di inquinamento sul territorio circostante. </w:t>
      </w:r>
      <w:r w:rsidR="00D36696">
        <w:rPr>
          <w:rFonts w:asciiTheme="majorHAnsi" w:hAnsiTheme="majorHAnsi"/>
        </w:rPr>
        <w:t>Inoltre, n</w:t>
      </w:r>
      <w:r w:rsidR="00673C29" w:rsidRPr="00673C29">
        <w:rPr>
          <w:rFonts w:asciiTheme="majorHAnsi" w:hAnsiTheme="majorHAnsi"/>
        </w:rPr>
        <w:t>ell’ultimo biennio</w:t>
      </w:r>
      <w:r w:rsidR="00D36696">
        <w:rPr>
          <w:rFonts w:asciiTheme="majorHAnsi" w:hAnsiTheme="majorHAnsi"/>
        </w:rPr>
        <w:t>, a fronte delle nuove</w:t>
      </w:r>
      <w:r w:rsidR="00673C29" w:rsidRPr="00673C29">
        <w:rPr>
          <w:rFonts w:asciiTheme="majorHAnsi" w:hAnsiTheme="majorHAnsi"/>
        </w:rPr>
        <w:t xml:space="preserve"> modalità di approcciare lo spazio ufficio, </w:t>
      </w:r>
      <w:r w:rsidR="00D36696">
        <w:rPr>
          <w:rFonts w:asciiTheme="majorHAnsi" w:hAnsiTheme="majorHAnsi"/>
        </w:rPr>
        <w:t xml:space="preserve">sta emergendo una </w:t>
      </w:r>
      <w:r w:rsidR="00673C29" w:rsidRPr="00673C29">
        <w:rPr>
          <w:rFonts w:asciiTheme="majorHAnsi" w:hAnsiTheme="majorHAnsi"/>
        </w:rPr>
        <w:t>sempre maggiore attenzione anche alle componenti di Social e Governance</w:t>
      </w:r>
      <w:r w:rsidR="00D36696">
        <w:rPr>
          <w:rFonts w:asciiTheme="majorHAnsi" w:hAnsiTheme="majorHAnsi"/>
        </w:rPr>
        <w:t>.</w:t>
      </w:r>
    </w:p>
    <w:p w14:paraId="76EE6C34" w14:textId="77777777" w:rsidR="009C030B" w:rsidRDefault="009C030B" w:rsidP="009C030B">
      <w:pPr>
        <w:spacing w:after="0" w:line="276" w:lineRule="auto"/>
        <w:jc w:val="both"/>
        <w:rPr>
          <w:rFonts w:asciiTheme="majorHAnsi" w:hAnsiTheme="majorHAnsi"/>
        </w:rPr>
      </w:pPr>
    </w:p>
    <w:p w14:paraId="23CF122A" w14:textId="77777777" w:rsidR="00D8611F" w:rsidRPr="00891CF9" w:rsidRDefault="00D8611F" w:rsidP="00D8611F">
      <w:pPr>
        <w:spacing w:after="0"/>
        <w:jc w:val="both"/>
        <w:rPr>
          <w:rFonts w:asciiTheme="majorHAnsi" w:hAnsiTheme="majorHAnsi"/>
          <w:b/>
          <w:bCs/>
          <w:smallCaps/>
        </w:rPr>
      </w:pPr>
      <w:r w:rsidRPr="00891CF9">
        <w:rPr>
          <w:rFonts w:asciiTheme="majorHAnsi" w:hAnsiTheme="majorHAnsi"/>
          <w:b/>
          <w:bCs/>
          <w:smallCaps/>
        </w:rPr>
        <w:t>L’</w:t>
      </w:r>
      <w:r>
        <w:rPr>
          <w:rFonts w:asciiTheme="majorHAnsi" w:hAnsiTheme="majorHAnsi"/>
          <w:b/>
          <w:bCs/>
          <w:smallCaps/>
        </w:rPr>
        <w:t>andamento generale del real estate in Italia</w:t>
      </w:r>
      <w:r w:rsidRPr="00891CF9">
        <w:rPr>
          <w:rFonts w:asciiTheme="majorHAnsi" w:hAnsiTheme="majorHAnsi"/>
          <w:b/>
          <w:bCs/>
          <w:smallCaps/>
        </w:rPr>
        <w:t xml:space="preserve"> </w:t>
      </w:r>
    </w:p>
    <w:p w14:paraId="59F88882" w14:textId="25A551F3" w:rsidR="00D8611F" w:rsidRPr="00324553" w:rsidRDefault="00D8611F" w:rsidP="00D8611F">
      <w:pPr>
        <w:spacing w:after="0" w:line="276" w:lineRule="auto"/>
        <w:jc w:val="both"/>
        <w:rPr>
          <w:rFonts w:asciiTheme="majorHAnsi" w:hAnsiTheme="majorHAnsi"/>
          <w:color w:val="000000" w:themeColor="text1"/>
          <w:highlight w:val="yellow"/>
        </w:rPr>
      </w:pPr>
      <w:r w:rsidRPr="00346FDD">
        <w:rPr>
          <w:rFonts w:asciiTheme="majorHAnsi" w:hAnsiTheme="majorHAnsi"/>
        </w:rPr>
        <w:t xml:space="preserve">La generale ripresa economica ha interessato </w:t>
      </w:r>
      <w:r>
        <w:rPr>
          <w:rFonts w:asciiTheme="majorHAnsi" w:hAnsiTheme="majorHAnsi"/>
        </w:rPr>
        <w:t xml:space="preserve">anche </w:t>
      </w:r>
      <w:r w:rsidRPr="00346FDD">
        <w:rPr>
          <w:rFonts w:asciiTheme="majorHAnsi" w:hAnsiTheme="majorHAnsi"/>
        </w:rPr>
        <w:t>il mercato immobiliare</w:t>
      </w:r>
      <w:r>
        <w:rPr>
          <w:rFonts w:asciiTheme="majorHAnsi" w:hAnsiTheme="majorHAnsi"/>
        </w:rPr>
        <w:t>, che complessivamente</w:t>
      </w:r>
      <w:r w:rsidRPr="00346FDD">
        <w:rPr>
          <w:rFonts w:asciiTheme="majorHAnsi" w:hAnsiTheme="majorHAnsi"/>
        </w:rPr>
        <w:t xml:space="preserve"> </w:t>
      </w:r>
      <w:r>
        <w:rPr>
          <w:rFonts w:asciiTheme="majorHAnsi" w:hAnsiTheme="majorHAnsi"/>
        </w:rPr>
        <w:t>ha registrato</w:t>
      </w:r>
      <w:r w:rsidRPr="00346FDD">
        <w:rPr>
          <w:rFonts w:asciiTheme="majorHAnsi" w:hAnsiTheme="majorHAnsi"/>
        </w:rPr>
        <w:t xml:space="preserve"> nel 2021 </w:t>
      </w:r>
      <w:r>
        <w:rPr>
          <w:rFonts w:asciiTheme="majorHAnsi" w:hAnsiTheme="majorHAnsi"/>
        </w:rPr>
        <w:t xml:space="preserve">un </w:t>
      </w:r>
      <w:r w:rsidRPr="00346FDD">
        <w:rPr>
          <w:rFonts w:asciiTheme="majorHAnsi" w:hAnsiTheme="majorHAnsi"/>
        </w:rPr>
        <w:t>fatturato globale pari a 123 miliardi di euro e una crescita dell’8,7% sul 2020</w:t>
      </w:r>
      <w:r>
        <w:rPr>
          <w:rFonts w:asciiTheme="majorHAnsi" w:hAnsiTheme="majorHAnsi"/>
        </w:rPr>
        <w:t>,</w:t>
      </w:r>
      <w:r w:rsidRPr="00346FDD">
        <w:rPr>
          <w:rFonts w:asciiTheme="majorHAnsi" w:hAnsiTheme="majorHAnsi"/>
        </w:rPr>
        <w:t xml:space="preserve"> valori che confermano il ritorno ai livelli pre-pandemia. </w:t>
      </w:r>
      <w:r w:rsidRPr="00124194">
        <w:rPr>
          <w:rFonts w:asciiTheme="majorHAnsi" w:hAnsiTheme="majorHAnsi"/>
          <w:b/>
          <w:bCs/>
        </w:rPr>
        <w:t>In crescita il numero delle transazioni rispetto al 2020 e al 2019 per tutti i comparti</w:t>
      </w:r>
      <w:r w:rsidRPr="00346FDD">
        <w:rPr>
          <w:rFonts w:asciiTheme="majorHAnsi" w:hAnsiTheme="majorHAnsi"/>
        </w:rPr>
        <w:t xml:space="preserve"> analizzati</w:t>
      </w:r>
      <w:r>
        <w:rPr>
          <w:rFonts w:asciiTheme="majorHAnsi" w:hAnsiTheme="majorHAnsi"/>
        </w:rPr>
        <w:t xml:space="preserve"> nel Real Estate DATA HUB</w:t>
      </w:r>
      <w:r w:rsidRPr="00346FDD">
        <w:rPr>
          <w:rFonts w:asciiTheme="majorHAnsi" w:hAnsiTheme="majorHAnsi"/>
        </w:rPr>
        <w:t xml:space="preserve">, </w:t>
      </w:r>
      <w:r w:rsidRPr="00124194">
        <w:rPr>
          <w:rFonts w:asciiTheme="majorHAnsi" w:hAnsiTheme="majorHAnsi"/>
          <w:b/>
          <w:bCs/>
        </w:rPr>
        <w:t>grazie all’aumento della domanda interna combinata all’interesse degli investitori stranieri</w:t>
      </w:r>
      <w:r w:rsidRPr="00346FDD">
        <w:rPr>
          <w:rFonts w:asciiTheme="majorHAnsi" w:hAnsiTheme="majorHAnsi"/>
        </w:rPr>
        <w:t>. In particolare</w:t>
      </w:r>
      <w:r>
        <w:rPr>
          <w:rFonts w:asciiTheme="majorHAnsi" w:hAnsiTheme="majorHAnsi"/>
        </w:rPr>
        <w:t>,</w:t>
      </w:r>
      <w:r w:rsidRPr="00346FDD">
        <w:rPr>
          <w:rFonts w:asciiTheme="majorHAnsi" w:hAnsiTheme="majorHAnsi"/>
        </w:rPr>
        <w:t xml:space="preserve"> si registrano </w:t>
      </w:r>
      <w:r w:rsidRPr="00124194">
        <w:rPr>
          <w:rFonts w:asciiTheme="majorHAnsi" w:hAnsiTheme="majorHAnsi"/>
          <w:b/>
          <w:bCs/>
        </w:rPr>
        <w:t>ottime performance nel mercato residenziale</w:t>
      </w:r>
      <w:r>
        <w:rPr>
          <w:rFonts w:asciiTheme="majorHAnsi" w:hAnsiTheme="majorHAnsi"/>
        </w:rPr>
        <w:t xml:space="preserve">, che risulta essere in piena ripresa con previsioni positive anche per il 2022. </w:t>
      </w:r>
      <w:r w:rsidRPr="00D36696">
        <w:rPr>
          <w:rFonts w:asciiTheme="majorHAnsi" w:hAnsiTheme="majorHAnsi"/>
        </w:rPr>
        <w:t>L’</w:t>
      </w:r>
      <w:r w:rsidRPr="00D36696">
        <w:rPr>
          <w:rFonts w:asciiTheme="majorHAnsi" w:hAnsiTheme="majorHAnsi"/>
          <w:b/>
          <w:bCs/>
        </w:rPr>
        <w:t>interesse per gli investimenti ESG</w:t>
      </w:r>
      <w:r w:rsidRPr="00D36696">
        <w:rPr>
          <w:rFonts w:asciiTheme="majorHAnsi" w:hAnsiTheme="majorHAnsi"/>
        </w:rPr>
        <w:t xml:space="preserve"> compliant sta dando vita a una vera e propria </w:t>
      </w:r>
      <w:r w:rsidRPr="00D36696">
        <w:rPr>
          <w:rFonts w:asciiTheme="majorHAnsi" w:hAnsiTheme="majorHAnsi"/>
          <w:b/>
          <w:bCs/>
        </w:rPr>
        <w:t>transizione verde</w:t>
      </w:r>
      <w:r w:rsidRPr="00D36696">
        <w:rPr>
          <w:rFonts w:asciiTheme="majorHAnsi" w:hAnsiTheme="majorHAnsi"/>
        </w:rPr>
        <w:t xml:space="preserve"> in tutti i comparti del real estate e </w:t>
      </w:r>
      <w:r w:rsidRPr="00D36696">
        <w:rPr>
          <w:rFonts w:asciiTheme="majorHAnsi" w:hAnsiTheme="majorHAnsi"/>
          <w:b/>
          <w:bCs/>
        </w:rPr>
        <w:t>si prevede che costituirà il principale driver per i prossimi anni</w:t>
      </w:r>
      <w:r w:rsidRPr="00D36696">
        <w:rPr>
          <w:rFonts w:asciiTheme="majorHAnsi" w:hAnsiTheme="majorHAnsi"/>
        </w:rPr>
        <w:t>.</w:t>
      </w:r>
      <w:r>
        <w:rPr>
          <w:rFonts w:asciiTheme="majorHAnsi" w:hAnsiTheme="majorHAnsi"/>
        </w:rPr>
        <w:t xml:space="preserve"> </w:t>
      </w:r>
      <w:r w:rsidR="00A65B04" w:rsidRPr="00124194">
        <w:rPr>
          <w:rFonts w:asciiTheme="majorHAnsi" w:hAnsiTheme="majorHAnsi"/>
        </w:rPr>
        <w:t xml:space="preserve">Gli effetti di questa tendenza si stanno già manifestando nel </w:t>
      </w:r>
      <w:r w:rsidR="00A65B04" w:rsidRPr="00A34F84">
        <w:rPr>
          <w:rFonts w:asciiTheme="majorHAnsi" w:hAnsiTheme="majorHAnsi"/>
          <w:b/>
          <w:bCs/>
        </w:rPr>
        <w:t>mondo della logistica, asset class immobiliare protagonista del 2021</w:t>
      </w:r>
      <w:r w:rsidR="00A65B04" w:rsidRPr="00124194">
        <w:rPr>
          <w:rFonts w:asciiTheme="majorHAnsi" w:hAnsiTheme="majorHAnsi"/>
        </w:rPr>
        <w:t>.</w:t>
      </w:r>
      <w:r w:rsidR="00A65B04">
        <w:rPr>
          <w:rFonts w:asciiTheme="majorHAnsi" w:hAnsiTheme="majorHAnsi"/>
        </w:rPr>
        <w:t xml:space="preserve"> Qui si prevede per il 2022 </w:t>
      </w:r>
      <w:r w:rsidR="00A65B04" w:rsidRPr="0001231D">
        <w:rPr>
          <w:rFonts w:asciiTheme="majorHAnsi" w:hAnsiTheme="majorHAnsi"/>
        </w:rPr>
        <w:t xml:space="preserve">un ulteriore aumento </w:t>
      </w:r>
      <w:r w:rsidR="00A65B04">
        <w:rPr>
          <w:rFonts w:asciiTheme="majorHAnsi" w:hAnsiTheme="majorHAnsi"/>
        </w:rPr>
        <w:t xml:space="preserve">della </w:t>
      </w:r>
      <w:r w:rsidR="00A65B04" w:rsidRPr="0001231D">
        <w:rPr>
          <w:rFonts w:asciiTheme="majorHAnsi" w:hAnsiTheme="majorHAnsi"/>
        </w:rPr>
        <w:t xml:space="preserve">domanda con caratteristiche in evoluzione alla luce della </w:t>
      </w:r>
      <w:r w:rsidR="00A65B04" w:rsidRPr="004D41D4">
        <w:rPr>
          <w:rFonts w:asciiTheme="majorHAnsi" w:hAnsiTheme="majorHAnsi"/>
          <w:b/>
          <w:bCs/>
        </w:rPr>
        <w:t xml:space="preserve">sempre maggiore importanza riservata </w:t>
      </w:r>
      <w:r w:rsidR="00A65B04">
        <w:rPr>
          <w:rFonts w:asciiTheme="majorHAnsi" w:hAnsiTheme="majorHAnsi"/>
          <w:b/>
          <w:bCs/>
        </w:rPr>
        <w:t xml:space="preserve">appunto </w:t>
      </w:r>
      <w:r w:rsidR="00A65B04" w:rsidRPr="004D41D4">
        <w:rPr>
          <w:rFonts w:asciiTheme="majorHAnsi" w:hAnsiTheme="majorHAnsi"/>
          <w:b/>
          <w:bCs/>
        </w:rPr>
        <w:t>alle tematiche di sostenibilità</w:t>
      </w:r>
      <w:r w:rsidR="00A65B04" w:rsidRPr="0001231D">
        <w:rPr>
          <w:rFonts w:asciiTheme="majorHAnsi" w:hAnsiTheme="majorHAnsi"/>
        </w:rPr>
        <w:t>.</w:t>
      </w:r>
      <w:r w:rsidR="00A65B04">
        <w:rPr>
          <w:rFonts w:asciiTheme="majorHAnsi" w:hAnsiTheme="majorHAnsi"/>
        </w:rPr>
        <w:t xml:space="preserve"> </w:t>
      </w:r>
      <w:r w:rsidRPr="00824036">
        <w:rPr>
          <w:rFonts w:asciiTheme="majorHAnsi" w:hAnsiTheme="majorHAnsi"/>
          <w:color w:val="000000" w:themeColor="text1"/>
        </w:rPr>
        <w:t xml:space="preserve">La ripresa economica globale del 2021 ha interessato anche il </w:t>
      </w:r>
      <w:r w:rsidRPr="00824036">
        <w:rPr>
          <w:rFonts w:asciiTheme="majorHAnsi" w:hAnsiTheme="majorHAnsi"/>
          <w:b/>
          <w:bCs/>
          <w:color w:val="000000" w:themeColor="text1"/>
        </w:rPr>
        <w:t>mercato immobiliare ricettivo</w:t>
      </w:r>
      <w:r w:rsidRPr="00824036">
        <w:rPr>
          <w:rFonts w:asciiTheme="majorHAnsi" w:hAnsiTheme="majorHAnsi"/>
          <w:color w:val="000000" w:themeColor="text1"/>
        </w:rPr>
        <w:t xml:space="preserve">. Secondo i dati elaborati da </w:t>
      </w:r>
      <w:r w:rsidRPr="00824036">
        <w:rPr>
          <w:rFonts w:asciiTheme="majorHAnsi" w:hAnsiTheme="majorHAnsi"/>
          <w:b/>
          <w:bCs/>
          <w:color w:val="000000" w:themeColor="text1"/>
        </w:rPr>
        <w:t>Real Estate DATA HUB</w:t>
      </w:r>
      <w:r w:rsidRPr="00824036">
        <w:rPr>
          <w:rFonts w:asciiTheme="majorHAnsi" w:hAnsiTheme="majorHAnsi"/>
          <w:color w:val="000000" w:themeColor="text1"/>
        </w:rPr>
        <w:t xml:space="preserve"> si è registrato un incremento degli investimenti che hanno raggiunto il secondo valore più alto negli ultimi 10 anni (2,1 miliardi di euro). Gli alberghi Upscale e Upper Upscale &amp; Luxury si confermano </w:t>
      </w:r>
      <w:r w:rsidRPr="00824036">
        <w:rPr>
          <w:rFonts w:asciiTheme="majorHAnsi" w:hAnsiTheme="majorHAnsi"/>
          <w:b/>
          <w:bCs/>
          <w:color w:val="000000" w:themeColor="text1"/>
        </w:rPr>
        <w:t>l’asset class</w:t>
      </w:r>
      <w:r w:rsidRPr="00824036">
        <w:rPr>
          <w:rFonts w:asciiTheme="majorHAnsi" w:hAnsiTheme="majorHAnsi"/>
          <w:color w:val="000000" w:themeColor="text1"/>
        </w:rPr>
        <w:t xml:space="preserve"> più richiesta dagli investitori, insieme alle principali città come </w:t>
      </w:r>
      <w:r w:rsidRPr="00824036">
        <w:rPr>
          <w:rFonts w:asciiTheme="majorHAnsi" w:hAnsiTheme="majorHAnsi"/>
          <w:b/>
          <w:bCs/>
          <w:color w:val="000000" w:themeColor="text1"/>
        </w:rPr>
        <w:t>Venezia, Roma, Milano e Firenze,</w:t>
      </w:r>
      <w:r w:rsidRPr="00824036">
        <w:rPr>
          <w:rFonts w:asciiTheme="majorHAnsi" w:hAnsiTheme="majorHAnsi"/>
          <w:color w:val="000000" w:themeColor="text1"/>
        </w:rPr>
        <w:t xml:space="preserve"> che hanno rappresentato oltre il 50% degli investimenti totali, trainando il comparto.</w:t>
      </w:r>
      <w:r>
        <w:rPr>
          <w:rFonts w:asciiTheme="majorHAnsi" w:hAnsiTheme="majorHAnsi"/>
          <w:color w:val="000000" w:themeColor="text1"/>
        </w:rPr>
        <w:t xml:space="preserve"> </w:t>
      </w:r>
      <w:r w:rsidRPr="00A34F84">
        <w:rPr>
          <w:rFonts w:asciiTheme="majorHAnsi" w:hAnsiTheme="majorHAnsi"/>
          <w:b/>
          <w:bCs/>
        </w:rPr>
        <w:t>Anche il settore retail ha dato segnali di ripresa</w:t>
      </w:r>
      <w:r>
        <w:rPr>
          <w:rFonts w:asciiTheme="majorHAnsi" w:hAnsiTheme="majorHAnsi"/>
        </w:rPr>
        <w:t xml:space="preserve"> con un vero e proprio boom nell’ultimo trimestre del 2021,</w:t>
      </w:r>
      <w:r w:rsidRPr="00204CA9">
        <w:rPr>
          <w:rFonts w:asciiTheme="majorHAnsi" w:hAnsiTheme="majorHAnsi"/>
        </w:rPr>
        <w:t xml:space="preserve"> </w:t>
      </w:r>
      <w:r>
        <w:rPr>
          <w:rFonts w:asciiTheme="majorHAnsi" w:hAnsiTheme="majorHAnsi"/>
        </w:rPr>
        <w:t xml:space="preserve">registrando </w:t>
      </w:r>
      <w:r w:rsidRPr="00204CA9">
        <w:rPr>
          <w:rFonts w:asciiTheme="majorHAnsi" w:hAnsiTheme="majorHAnsi"/>
        </w:rPr>
        <w:t>transazioni</w:t>
      </w:r>
      <w:r>
        <w:rPr>
          <w:rFonts w:asciiTheme="majorHAnsi" w:hAnsiTheme="majorHAnsi"/>
        </w:rPr>
        <w:t xml:space="preserve"> in aumento anche se complessivamente i volumi siano inferiori agli anni precedenti. </w:t>
      </w:r>
      <w:r w:rsidRPr="00A34F84">
        <w:rPr>
          <w:rFonts w:asciiTheme="majorHAnsi" w:hAnsiTheme="majorHAnsi"/>
          <w:b/>
          <w:bCs/>
        </w:rPr>
        <w:t xml:space="preserve">Nel mercato direzionale </w:t>
      </w:r>
      <w:r>
        <w:rPr>
          <w:rFonts w:asciiTheme="majorHAnsi" w:hAnsiTheme="majorHAnsi"/>
          <w:b/>
          <w:bCs/>
        </w:rPr>
        <w:t>si segnalano</w:t>
      </w:r>
      <w:r w:rsidRPr="00A34F84">
        <w:rPr>
          <w:rFonts w:asciiTheme="majorHAnsi" w:hAnsiTheme="majorHAnsi"/>
          <w:b/>
          <w:bCs/>
        </w:rPr>
        <w:t xml:space="preserve"> ancora rallentamenti</w:t>
      </w:r>
      <w:r>
        <w:rPr>
          <w:rFonts w:asciiTheme="majorHAnsi" w:hAnsiTheme="majorHAnsi"/>
        </w:rPr>
        <w:t xml:space="preserve"> e un generale atteggiamento cautelativo, sebbene il numero di transazioni </w:t>
      </w:r>
      <w:r w:rsidRPr="00204CA9">
        <w:rPr>
          <w:rFonts w:asciiTheme="majorHAnsi" w:hAnsiTheme="majorHAnsi"/>
        </w:rPr>
        <w:t xml:space="preserve">nel 2021 </w:t>
      </w:r>
      <w:r>
        <w:rPr>
          <w:rFonts w:asciiTheme="majorHAnsi" w:hAnsiTheme="majorHAnsi"/>
        </w:rPr>
        <w:t>sia</w:t>
      </w:r>
      <w:r w:rsidRPr="00204CA9">
        <w:rPr>
          <w:rFonts w:asciiTheme="majorHAnsi" w:hAnsiTheme="majorHAnsi"/>
        </w:rPr>
        <w:t xml:space="preserve"> </w:t>
      </w:r>
      <w:r>
        <w:rPr>
          <w:rFonts w:asciiTheme="majorHAnsi" w:hAnsiTheme="majorHAnsi"/>
        </w:rPr>
        <w:t>cresciuto</w:t>
      </w:r>
      <w:r w:rsidRPr="00204CA9">
        <w:rPr>
          <w:rFonts w:asciiTheme="majorHAnsi" w:hAnsiTheme="majorHAnsi"/>
        </w:rPr>
        <w:t xml:space="preserve"> rispetto ai due anni precedenti</w:t>
      </w:r>
      <w:r>
        <w:rPr>
          <w:rFonts w:asciiTheme="majorHAnsi" w:hAnsiTheme="majorHAnsi"/>
        </w:rPr>
        <w:t>. Anche qui, però gli esperti si sbilanciano verso previsioni ottimistiche trainate dai</w:t>
      </w:r>
      <w:r w:rsidRPr="003504F2">
        <w:rPr>
          <w:rFonts w:asciiTheme="majorHAnsi" w:hAnsiTheme="majorHAnsi"/>
          <w:b/>
          <w:bCs/>
        </w:rPr>
        <w:t xml:space="preserve"> </w:t>
      </w:r>
      <w:r w:rsidRPr="00A34F84">
        <w:rPr>
          <w:rFonts w:asciiTheme="majorHAnsi" w:hAnsiTheme="majorHAnsi"/>
        </w:rPr>
        <w:t>driver ESG.</w:t>
      </w:r>
      <w:r>
        <w:rPr>
          <w:rFonts w:asciiTheme="majorHAnsi" w:hAnsiTheme="majorHAnsi"/>
        </w:rPr>
        <w:t xml:space="preserve"> </w:t>
      </w:r>
    </w:p>
    <w:p w14:paraId="2E99C65C" w14:textId="77777777" w:rsidR="00D8611F" w:rsidRPr="00324553" w:rsidRDefault="00D8611F" w:rsidP="00D8611F">
      <w:pPr>
        <w:spacing w:after="0" w:line="276" w:lineRule="auto"/>
        <w:jc w:val="both"/>
        <w:rPr>
          <w:rFonts w:asciiTheme="majorHAnsi" w:hAnsiTheme="majorHAnsi"/>
          <w:color w:val="000000" w:themeColor="text1"/>
          <w:highlight w:val="yellow"/>
        </w:rPr>
      </w:pPr>
    </w:p>
    <w:p w14:paraId="5C5B76CF" w14:textId="77777777" w:rsidR="00D8611F" w:rsidRPr="00862BF1" w:rsidRDefault="00D8611F" w:rsidP="00D8611F">
      <w:pPr>
        <w:spacing w:after="0"/>
        <w:jc w:val="both"/>
        <w:rPr>
          <w:rFonts w:asciiTheme="majorHAnsi" w:hAnsiTheme="majorHAnsi"/>
          <w:b/>
          <w:bCs/>
          <w:smallCaps/>
        </w:rPr>
      </w:pPr>
      <w:r w:rsidRPr="00862BF1">
        <w:rPr>
          <w:rFonts w:asciiTheme="majorHAnsi" w:hAnsiTheme="majorHAnsi"/>
          <w:b/>
          <w:bCs/>
          <w:smallCaps/>
        </w:rPr>
        <w:t>Real Estate DATA HUB</w:t>
      </w:r>
    </w:p>
    <w:p w14:paraId="3BE9D6AA" w14:textId="77777777" w:rsidR="00D8611F" w:rsidRPr="00131647" w:rsidRDefault="00D8611F" w:rsidP="00D8611F">
      <w:pPr>
        <w:spacing w:after="0" w:line="276" w:lineRule="auto"/>
        <w:jc w:val="both"/>
        <w:rPr>
          <w:rFonts w:asciiTheme="majorHAnsi" w:hAnsiTheme="majorHAnsi"/>
        </w:rPr>
      </w:pPr>
      <w:r w:rsidRPr="00862BF1">
        <w:rPr>
          <w:rFonts w:asciiTheme="majorHAnsi" w:hAnsiTheme="majorHAnsi"/>
        </w:rPr>
        <w:t xml:space="preserve">Le considerazioni e le previsioni relative all’immobiliare ricettivo emergono dall’edizione annuale di </w:t>
      </w:r>
      <w:r w:rsidRPr="00862BF1">
        <w:rPr>
          <w:rFonts w:asciiTheme="majorHAnsi" w:hAnsiTheme="majorHAnsi"/>
          <w:b/>
          <w:bCs/>
        </w:rPr>
        <w:t>Real Estate DATA HUB</w:t>
      </w:r>
      <w:r w:rsidRPr="00862BF1">
        <w:rPr>
          <w:rFonts w:asciiTheme="majorHAnsi" w:hAnsiTheme="majorHAnsi"/>
        </w:rPr>
        <w:t xml:space="preserve"> focalizzata su “</w:t>
      </w:r>
      <w:hyperlink r:id="rId12" w:history="1">
        <w:r w:rsidRPr="00862BF1">
          <w:rPr>
            <w:rStyle w:val="Collegamentoipertestuale"/>
            <w:rFonts w:asciiTheme="majorHAnsi" w:hAnsiTheme="majorHAnsi"/>
            <w:b/>
            <w:bCs/>
          </w:rPr>
          <w:t>Analisi andamento mercato immobiliare 2021 e outlook 2022</w:t>
        </w:r>
      </w:hyperlink>
      <w:r w:rsidRPr="00862BF1">
        <w:rPr>
          <w:rFonts w:asciiTheme="majorHAnsi" w:hAnsiTheme="majorHAnsi"/>
        </w:rPr>
        <w:t>”. I</w:t>
      </w:r>
      <w:r>
        <w:rPr>
          <w:rFonts w:asciiTheme="majorHAnsi" w:hAnsiTheme="majorHAnsi"/>
        </w:rPr>
        <w:t>l</w:t>
      </w:r>
      <w:r w:rsidRPr="00862BF1">
        <w:rPr>
          <w:rFonts w:asciiTheme="majorHAnsi" w:hAnsiTheme="majorHAnsi"/>
        </w:rPr>
        <w:t xml:space="preserve"> Report, realizzato da Centro Studi </w:t>
      </w:r>
      <w:hyperlink r:id="rId13" w:history="1">
        <w:r w:rsidRPr="00862BF1">
          <w:rPr>
            <w:rStyle w:val="Collegamentoipertestuale"/>
            <w:rFonts w:asciiTheme="majorHAnsi" w:hAnsiTheme="majorHAnsi"/>
            <w:b/>
            <w:bCs/>
          </w:rPr>
          <w:t>RE/MAX Italia</w:t>
        </w:r>
      </w:hyperlink>
      <w:r w:rsidRPr="00862BF1">
        <w:rPr>
          <w:rFonts w:asciiTheme="majorHAnsi" w:hAnsiTheme="majorHAnsi"/>
        </w:rPr>
        <w:t xml:space="preserve">, </w:t>
      </w:r>
      <w:hyperlink r:id="rId14" w:history="1">
        <w:r w:rsidRPr="00862BF1">
          <w:rPr>
            <w:rStyle w:val="Collegamentoipertestuale"/>
            <w:rFonts w:asciiTheme="majorHAnsi" w:hAnsiTheme="majorHAnsi"/>
            <w:b/>
            <w:bCs/>
          </w:rPr>
          <w:t>Avalon Real Estate</w:t>
        </w:r>
      </w:hyperlink>
      <w:r w:rsidRPr="00862BF1">
        <w:rPr>
          <w:rStyle w:val="Collegamentoipertestuale"/>
          <w:rFonts w:asciiTheme="majorHAnsi" w:hAnsiTheme="majorHAnsi"/>
          <w:b/>
          <w:bCs/>
          <w:u w:val="none"/>
        </w:rPr>
        <w:t xml:space="preserve"> </w:t>
      </w:r>
      <w:r w:rsidRPr="00862BF1">
        <w:rPr>
          <w:rFonts w:asciiTheme="majorHAnsi" w:hAnsiTheme="majorHAnsi"/>
        </w:rPr>
        <w:t xml:space="preserve">e Ufficio Studi </w:t>
      </w:r>
      <w:hyperlink r:id="rId15" w:history="1">
        <w:r w:rsidRPr="00862BF1">
          <w:rPr>
            <w:rStyle w:val="Collegamentoipertestuale"/>
            <w:rFonts w:asciiTheme="majorHAnsi" w:hAnsiTheme="majorHAnsi"/>
            <w:b/>
            <w:bCs/>
          </w:rPr>
          <w:t>24MAX</w:t>
        </w:r>
      </w:hyperlink>
      <w:r w:rsidRPr="00862BF1">
        <w:rPr>
          <w:rFonts w:asciiTheme="majorHAnsi" w:hAnsiTheme="majorHAnsi"/>
        </w:rPr>
        <w:t xml:space="preserve">, </w:t>
      </w:r>
      <w:r w:rsidRPr="00862BF1">
        <w:rPr>
          <w:rStyle w:val="A6"/>
          <w:rFonts w:asciiTheme="majorHAnsi" w:hAnsiTheme="majorHAnsi"/>
        </w:rPr>
        <w:t xml:space="preserve">contiene inoltre dettagliati </w:t>
      </w:r>
      <w:r w:rsidRPr="00862BF1">
        <w:rPr>
          <w:rStyle w:val="A6"/>
          <w:rFonts w:asciiTheme="majorHAnsi" w:hAnsiTheme="majorHAnsi"/>
          <w:b/>
          <w:bCs/>
        </w:rPr>
        <w:t xml:space="preserve">approfondimenti sulle </w:t>
      </w:r>
      <w:r w:rsidRPr="00862BF1">
        <w:rPr>
          <w:rFonts w:asciiTheme="majorHAnsi" w:hAnsiTheme="majorHAnsi"/>
          <w:b/>
          <w:bCs/>
        </w:rPr>
        <w:t>città di Roma e Milano</w:t>
      </w:r>
      <w:r w:rsidRPr="00862BF1">
        <w:rPr>
          <w:rFonts w:asciiTheme="majorHAnsi" w:hAnsiTheme="majorHAnsi"/>
        </w:rPr>
        <w:t xml:space="preserve"> e </w:t>
      </w:r>
      <w:r w:rsidRPr="00862BF1">
        <w:rPr>
          <w:rFonts w:asciiTheme="majorHAnsi" w:hAnsiTheme="majorHAnsi"/>
          <w:b/>
          <w:bCs/>
        </w:rPr>
        <w:t>due focus</w:t>
      </w:r>
      <w:r w:rsidRPr="00862BF1">
        <w:rPr>
          <w:rFonts w:asciiTheme="majorHAnsi" w:hAnsiTheme="majorHAnsi"/>
        </w:rPr>
        <w:t xml:space="preserve">, uno dedicato appunto al </w:t>
      </w:r>
      <w:r w:rsidRPr="00862BF1">
        <w:rPr>
          <w:rFonts w:asciiTheme="majorHAnsi" w:hAnsiTheme="majorHAnsi"/>
          <w:b/>
          <w:bCs/>
        </w:rPr>
        <w:t>settore ricettivo</w:t>
      </w:r>
      <w:r w:rsidRPr="00862BF1">
        <w:rPr>
          <w:rFonts w:asciiTheme="majorHAnsi" w:hAnsiTheme="majorHAnsi"/>
        </w:rPr>
        <w:t xml:space="preserve"> e l’altro ai </w:t>
      </w:r>
      <w:r w:rsidRPr="00862BF1">
        <w:rPr>
          <w:rFonts w:asciiTheme="majorHAnsi" w:hAnsiTheme="majorHAnsi"/>
          <w:b/>
          <w:bCs/>
        </w:rPr>
        <w:t>criteri ESG</w:t>
      </w:r>
      <w:r w:rsidRPr="00862BF1">
        <w:rPr>
          <w:rFonts w:asciiTheme="majorHAnsi" w:hAnsiTheme="majorHAnsi"/>
        </w:rPr>
        <w:t xml:space="preserve"> declinati in ambito immobiliare. Dati reali di transato, know how ed expertise confluiscono in un’unica banca dati che rende il Real Estate DATA HUB uno strumento di analisi innovativo per tutti gli stakeholder del mercato immobiliare, offrendo un punto di vista originale e costantemente aggiornato supporta</w:t>
      </w:r>
      <w:r>
        <w:rPr>
          <w:rFonts w:asciiTheme="majorHAnsi" w:hAnsiTheme="majorHAnsi"/>
        </w:rPr>
        <w:t>to</w:t>
      </w:r>
      <w:r w:rsidRPr="00862BF1">
        <w:rPr>
          <w:rFonts w:asciiTheme="majorHAnsi" w:hAnsiTheme="majorHAnsi"/>
        </w:rPr>
        <w:t xml:space="preserve"> da tabelle, grafici e infografiche.</w:t>
      </w:r>
    </w:p>
    <w:p w14:paraId="240716E9" w14:textId="375216C9" w:rsidR="00A87D2A" w:rsidRDefault="00A87D2A" w:rsidP="003039DF">
      <w:pPr>
        <w:spacing w:after="0" w:line="276" w:lineRule="auto"/>
        <w:jc w:val="both"/>
        <w:rPr>
          <w:rFonts w:asciiTheme="majorHAnsi" w:hAnsiTheme="majorHAnsi"/>
        </w:rPr>
      </w:pPr>
    </w:p>
    <w:p w14:paraId="285BC22D" w14:textId="77777777" w:rsidR="004D61A3" w:rsidRDefault="004D61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p>
    <w:p w14:paraId="68AD7F67" w14:textId="1FD0A048" w:rsidR="007228BF" w:rsidRDefault="00E420A3" w:rsidP="007228BF">
      <w:pPr>
        <w:pBdr>
          <w:top w:val="single" w:sz="4" w:space="1" w:color="auto"/>
          <w:left w:val="single" w:sz="4" w:space="4" w:color="auto"/>
          <w:bottom w:val="single" w:sz="4" w:space="1" w:color="auto"/>
          <w:right w:val="single" w:sz="4" w:space="4" w:color="auto"/>
        </w:pBdr>
        <w:jc w:val="center"/>
      </w:pPr>
      <w:r>
        <w:rPr>
          <w:b/>
          <w:bCs/>
          <w:sz w:val="21"/>
          <w:szCs w:val="21"/>
        </w:rPr>
        <w:t xml:space="preserve">SFOGLIA LA VERSIONE </w:t>
      </w:r>
      <w:r w:rsidRPr="00A37DCC">
        <w:rPr>
          <w:b/>
          <w:bCs/>
          <w:sz w:val="21"/>
          <w:szCs w:val="21"/>
        </w:rPr>
        <w:t xml:space="preserve">INTEGRALE </w:t>
      </w:r>
      <w:r>
        <w:rPr>
          <w:b/>
          <w:bCs/>
          <w:sz w:val="21"/>
          <w:szCs w:val="21"/>
        </w:rPr>
        <w:t xml:space="preserve">DELL’EDIZIONE ANNUALE DI REAL ESTATE DATA HUB AL SEGUENTE LINK: </w:t>
      </w:r>
      <w:hyperlink r:id="rId16" w:history="1">
        <w:r w:rsidR="007228BF">
          <w:rPr>
            <w:rStyle w:val="Collegamentoipertestuale"/>
          </w:rPr>
          <w:t>https://rem.ax/Report_annuale_2022_REALESTATEDATAHUB</w:t>
        </w:r>
      </w:hyperlink>
    </w:p>
    <w:p w14:paraId="63350F7D" w14:textId="62FD856E" w:rsidR="004D61A3" w:rsidRDefault="004D61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p>
    <w:p w14:paraId="68D6607F" w14:textId="58B79ADF" w:rsidR="004D61A3" w:rsidRDefault="00E420A3" w:rsidP="007228BF">
      <w:pPr>
        <w:pBdr>
          <w:top w:val="single" w:sz="4" w:space="1" w:color="auto"/>
          <w:left w:val="single" w:sz="4" w:space="4" w:color="auto"/>
          <w:bottom w:val="single" w:sz="4" w:space="1" w:color="auto"/>
          <w:right w:val="single" w:sz="4" w:space="4" w:color="auto"/>
        </w:pBdr>
        <w:spacing w:after="0"/>
        <w:jc w:val="center"/>
        <w:rPr>
          <w:b/>
          <w:bCs/>
          <w:sz w:val="21"/>
          <w:szCs w:val="21"/>
        </w:rPr>
      </w:pPr>
      <w:r>
        <w:rPr>
          <w:b/>
          <w:bCs/>
          <w:sz w:val="21"/>
          <w:szCs w:val="21"/>
        </w:rPr>
        <w:t xml:space="preserve">SCARICA LA VERSIONE </w:t>
      </w:r>
      <w:r w:rsidRPr="000B6C55">
        <w:rPr>
          <w:b/>
          <w:bCs/>
          <w:sz w:val="21"/>
          <w:szCs w:val="21"/>
        </w:rPr>
        <w:t xml:space="preserve">INTEGRALE </w:t>
      </w:r>
      <w:r>
        <w:rPr>
          <w:b/>
          <w:bCs/>
          <w:sz w:val="21"/>
          <w:szCs w:val="21"/>
        </w:rPr>
        <w:t>DELL’</w:t>
      </w:r>
      <w:r w:rsidRPr="000B6C55">
        <w:rPr>
          <w:b/>
          <w:bCs/>
          <w:sz w:val="21"/>
          <w:szCs w:val="21"/>
        </w:rPr>
        <w:t>EDIZIONE</w:t>
      </w:r>
      <w:r>
        <w:rPr>
          <w:b/>
          <w:bCs/>
          <w:sz w:val="21"/>
          <w:szCs w:val="21"/>
        </w:rPr>
        <w:t xml:space="preserve"> ANNUALE DI REAL ESTATE DATA HUB AL SEGUENTE LINK: </w:t>
      </w:r>
    </w:p>
    <w:p w14:paraId="063EEE10" w14:textId="123EEC79" w:rsidR="007228BF" w:rsidRDefault="006D0E04" w:rsidP="007228BF">
      <w:pPr>
        <w:pBdr>
          <w:top w:val="single" w:sz="4" w:space="1" w:color="auto"/>
          <w:left w:val="single" w:sz="4" w:space="4" w:color="auto"/>
          <w:bottom w:val="single" w:sz="4" w:space="1" w:color="auto"/>
          <w:right w:val="single" w:sz="4" w:space="4" w:color="auto"/>
        </w:pBdr>
        <w:spacing w:after="0"/>
        <w:jc w:val="center"/>
        <w:rPr>
          <w:b/>
          <w:bCs/>
          <w:sz w:val="21"/>
          <w:szCs w:val="21"/>
        </w:rPr>
      </w:pPr>
      <w:hyperlink r:id="rId17" w:history="1">
        <w:r w:rsidR="007228BF">
          <w:rPr>
            <w:rStyle w:val="Collegamentoipertestuale"/>
          </w:rPr>
          <w:t>https://rem.ax/RealEstateDataHub_annuale2022</w:t>
        </w:r>
      </w:hyperlink>
    </w:p>
    <w:p w14:paraId="685B2E99" w14:textId="77777777" w:rsidR="004D61A3" w:rsidRDefault="004D61A3" w:rsidP="007228BF">
      <w:pPr>
        <w:pBdr>
          <w:top w:val="single" w:sz="4" w:space="1" w:color="auto"/>
          <w:left w:val="single" w:sz="4" w:space="4" w:color="auto"/>
          <w:bottom w:val="single" w:sz="4" w:space="1" w:color="auto"/>
          <w:right w:val="single" w:sz="4" w:space="4" w:color="auto"/>
        </w:pBdr>
        <w:rPr>
          <w:sz w:val="20"/>
          <w:szCs w:val="20"/>
        </w:rPr>
      </w:pPr>
    </w:p>
    <w:p w14:paraId="35C96F91" w14:textId="4705F22A" w:rsidR="007C3B28" w:rsidRPr="00BE2E1F" w:rsidRDefault="007C3B28" w:rsidP="007228BF">
      <w:pPr>
        <w:spacing w:after="0" w:line="276" w:lineRule="auto"/>
      </w:pPr>
    </w:p>
    <w:p w14:paraId="5B33E93A" w14:textId="77777777" w:rsidR="008D59ED" w:rsidRPr="009B7BFE" w:rsidRDefault="008D59ED" w:rsidP="008D59ED">
      <w:pPr>
        <w:pStyle w:val="NormaleWeb"/>
        <w:shd w:val="clear" w:color="auto" w:fill="FFFFFF"/>
        <w:spacing w:after="0" w:afterAutospacing="0" w:line="276" w:lineRule="auto"/>
        <w:jc w:val="both"/>
        <w:rPr>
          <w:rFonts w:asciiTheme="majorHAnsi" w:hAnsiTheme="majorHAnsi"/>
          <w:b/>
          <w:sz w:val="20"/>
          <w:szCs w:val="20"/>
        </w:rPr>
      </w:pPr>
      <w:r w:rsidRPr="009B7BFE">
        <w:rPr>
          <w:rFonts w:asciiTheme="majorHAnsi" w:hAnsiTheme="majorHAnsi"/>
          <w:b/>
          <w:sz w:val="20"/>
          <w:szCs w:val="20"/>
        </w:rPr>
        <w:t xml:space="preserve">COMPANY PROFILE RE/MAX ITALIA </w:t>
      </w:r>
    </w:p>
    <w:p w14:paraId="0993A8C1" w14:textId="1E402E9E" w:rsidR="007F2C7F" w:rsidRPr="00186B76" w:rsidRDefault="007F2C7F" w:rsidP="007F2C7F">
      <w:pPr>
        <w:spacing w:line="240" w:lineRule="auto"/>
        <w:jc w:val="both"/>
        <w:rPr>
          <w:rFonts w:ascii="Calibri Light" w:hAnsi="Calibri Light"/>
          <w:sz w:val="20"/>
          <w:szCs w:val="20"/>
        </w:rPr>
      </w:pPr>
      <w:r w:rsidRPr="00992AEB">
        <w:rPr>
          <w:rFonts w:ascii="Calibri Light" w:hAnsi="Calibri Light"/>
          <w:sz w:val="20"/>
          <w:szCs w:val="20"/>
        </w:rPr>
        <w:t xml:space="preserve">Fondata in USA nel 1973 da Dave e Gail Liniger, RE/MAX approda in </w:t>
      </w:r>
      <w:r w:rsidRPr="00992AEB">
        <w:rPr>
          <w:rFonts w:ascii="Calibri Light" w:hAnsi="Calibri Light"/>
          <w:b/>
          <w:bCs/>
          <w:sz w:val="20"/>
          <w:szCs w:val="20"/>
        </w:rPr>
        <w:t>Italia nel 1996</w:t>
      </w:r>
      <w:r w:rsidRPr="00992AEB">
        <w:rPr>
          <w:rFonts w:ascii="Calibri Light" w:hAnsi="Calibri Light"/>
          <w:sz w:val="20"/>
          <w:szCs w:val="20"/>
        </w:rPr>
        <w:t xml:space="preserve"> grazie alla lungimirante vision</w:t>
      </w:r>
      <w:r w:rsidR="008632A8">
        <w:rPr>
          <w:rFonts w:ascii="Calibri Light" w:hAnsi="Calibri Light"/>
          <w:sz w:val="20"/>
          <w:szCs w:val="20"/>
        </w:rPr>
        <w:t>e</w:t>
      </w:r>
      <w:r w:rsidRPr="00992AEB">
        <w:rPr>
          <w:rFonts w:ascii="Calibri Light" w:hAnsi="Calibri Light"/>
          <w:sz w:val="20"/>
          <w:szCs w:val="20"/>
        </w:rPr>
        <w:t xml:space="preserve"> di </w:t>
      </w:r>
      <w:r w:rsidRPr="00992AEB">
        <w:rPr>
          <w:rFonts w:ascii="Calibri Light" w:hAnsi="Calibri Light"/>
          <w:b/>
          <w:bCs/>
          <w:sz w:val="20"/>
          <w:szCs w:val="20"/>
        </w:rPr>
        <w:t>Dario Castiglia</w:t>
      </w:r>
      <w:r w:rsidRPr="00992AEB">
        <w:rPr>
          <w:rFonts w:ascii="Calibri Light" w:hAnsi="Calibri Light"/>
          <w:sz w:val="20"/>
          <w:szCs w:val="20"/>
        </w:rPr>
        <w:t>, tutt’oggi alla guida del network immobiliare. Anno dopo anno RE/MAX rafforza la leadership</w:t>
      </w:r>
      <w:r w:rsidRPr="00992AEB">
        <w:rPr>
          <w:rFonts w:ascii="Calibri Light" w:hAnsi="Calibri Light"/>
          <w:b/>
          <w:bCs/>
          <w:sz w:val="20"/>
          <w:szCs w:val="20"/>
        </w:rPr>
        <w:t xml:space="preserve"> a livello mondiale</w:t>
      </w:r>
      <w:r w:rsidRPr="00992AEB">
        <w:rPr>
          <w:rFonts w:ascii="Calibri Light" w:hAnsi="Calibri Light"/>
          <w:sz w:val="20"/>
          <w:szCs w:val="20"/>
        </w:rPr>
        <w:t xml:space="preserve">, dove oggi è presente in oltre </w:t>
      </w:r>
      <w:r w:rsidRPr="002F5A51">
        <w:rPr>
          <w:rFonts w:ascii="Calibri Light" w:hAnsi="Calibri Light"/>
          <w:sz w:val="20"/>
          <w:szCs w:val="20"/>
        </w:rPr>
        <w:t>115 Paesi</w:t>
      </w:r>
      <w:r w:rsidRPr="00992AEB">
        <w:rPr>
          <w:rFonts w:ascii="Calibri Light" w:hAnsi="Calibri Light"/>
          <w:sz w:val="20"/>
          <w:szCs w:val="20"/>
        </w:rPr>
        <w:t xml:space="preserve"> con </w:t>
      </w:r>
      <w:r>
        <w:rPr>
          <w:rFonts w:ascii="Calibri Light" w:hAnsi="Calibri Light"/>
          <w:sz w:val="20"/>
          <w:szCs w:val="20"/>
        </w:rPr>
        <w:t>quasi</w:t>
      </w:r>
      <w:r w:rsidRPr="00992AEB">
        <w:rPr>
          <w:rFonts w:ascii="Calibri Light" w:hAnsi="Calibri Light"/>
          <w:sz w:val="20"/>
          <w:szCs w:val="20"/>
        </w:rPr>
        <w:t xml:space="preserve"> </w:t>
      </w:r>
      <w:r>
        <w:rPr>
          <w:rFonts w:ascii="Calibri Light" w:hAnsi="Calibri Light"/>
          <w:sz w:val="20"/>
          <w:szCs w:val="20"/>
        </w:rPr>
        <w:t>9</w:t>
      </w:r>
      <w:r w:rsidRPr="00992AEB">
        <w:rPr>
          <w:rFonts w:ascii="Calibri Light" w:hAnsi="Calibri Light"/>
          <w:sz w:val="20"/>
          <w:szCs w:val="20"/>
        </w:rPr>
        <w:t xml:space="preserve">.000 agenzie </w:t>
      </w:r>
      <w:r>
        <w:rPr>
          <w:rFonts w:ascii="Calibri Light" w:hAnsi="Calibri Light"/>
          <w:sz w:val="20"/>
          <w:szCs w:val="20"/>
        </w:rPr>
        <w:t xml:space="preserve">e </w:t>
      </w:r>
      <w:r w:rsidRPr="002F5A51">
        <w:rPr>
          <w:rFonts w:ascii="Calibri Light" w:hAnsi="Calibri Light"/>
          <w:sz w:val="20"/>
          <w:szCs w:val="20"/>
        </w:rPr>
        <w:t>14</w:t>
      </w:r>
      <w:r>
        <w:rPr>
          <w:rFonts w:ascii="Calibri Light" w:hAnsi="Calibri Light"/>
          <w:sz w:val="20"/>
          <w:szCs w:val="20"/>
        </w:rPr>
        <w:t>2</w:t>
      </w:r>
      <w:r w:rsidRPr="002F5A51">
        <w:rPr>
          <w:rFonts w:ascii="Calibri Light" w:hAnsi="Calibri Light"/>
          <w:sz w:val="20"/>
          <w:szCs w:val="20"/>
        </w:rPr>
        <w:t>.000</w:t>
      </w:r>
      <w:r w:rsidRPr="00992AEB">
        <w:rPr>
          <w:rFonts w:ascii="Calibri Light" w:hAnsi="Calibri Light"/>
          <w:sz w:val="20"/>
          <w:szCs w:val="20"/>
        </w:rPr>
        <w:t xml:space="preserve"> </w:t>
      </w:r>
      <w:r>
        <w:rPr>
          <w:rFonts w:ascii="Calibri Light" w:hAnsi="Calibri Light"/>
          <w:sz w:val="20"/>
          <w:szCs w:val="20"/>
        </w:rPr>
        <w:t>agenti</w:t>
      </w:r>
      <w:r w:rsidRPr="00992AEB">
        <w:rPr>
          <w:rFonts w:ascii="Calibri Light" w:hAnsi="Calibri Light"/>
          <w:sz w:val="20"/>
          <w:szCs w:val="20"/>
        </w:rPr>
        <w:t xml:space="preserve"> affiliati. </w:t>
      </w:r>
      <w:r>
        <w:rPr>
          <w:rFonts w:ascii="Calibri Light" w:hAnsi="Calibri Light"/>
          <w:sz w:val="20"/>
          <w:szCs w:val="20"/>
        </w:rPr>
        <w:t xml:space="preserve">Con un </w:t>
      </w:r>
      <w:r w:rsidRPr="00992AEB">
        <w:rPr>
          <w:rFonts w:ascii="Calibri Light" w:hAnsi="Calibri Light"/>
          <w:sz w:val="20"/>
          <w:szCs w:val="20"/>
        </w:rPr>
        <w:t xml:space="preserve">esclusivo </w:t>
      </w:r>
      <w:r w:rsidRPr="00992AEB">
        <w:rPr>
          <w:rFonts w:ascii="Calibri Light" w:hAnsi="Calibri Light"/>
          <w:b/>
          <w:bCs/>
          <w:sz w:val="20"/>
          <w:szCs w:val="20"/>
        </w:rPr>
        <w:t>modello di business basato sullo studio associato</w:t>
      </w:r>
      <w:r w:rsidRPr="00992AEB">
        <w:rPr>
          <w:rFonts w:ascii="Calibri Light" w:hAnsi="Calibri Light"/>
          <w:sz w:val="20"/>
          <w:szCs w:val="20"/>
        </w:rPr>
        <w:t xml:space="preserve"> in cui vige la </w:t>
      </w:r>
      <w:r w:rsidRPr="00992AEB">
        <w:rPr>
          <w:rFonts w:ascii="Calibri Light" w:hAnsi="Calibri Light"/>
          <w:b/>
          <w:bCs/>
          <w:sz w:val="20"/>
          <w:szCs w:val="20"/>
        </w:rPr>
        <w:t>formula “win-win</w:t>
      </w:r>
      <w:r w:rsidRPr="00BD20F5">
        <w:rPr>
          <w:rFonts w:ascii="Calibri Light" w:hAnsi="Calibri Light"/>
          <w:b/>
          <w:bCs/>
          <w:sz w:val="20"/>
          <w:szCs w:val="20"/>
        </w:rPr>
        <w:t>”</w:t>
      </w:r>
      <w:r>
        <w:rPr>
          <w:rFonts w:ascii="Calibri Light" w:hAnsi="Calibri Light"/>
          <w:sz w:val="20"/>
          <w:szCs w:val="20"/>
        </w:rPr>
        <w:t>,</w:t>
      </w:r>
      <w:r w:rsidRPr="00992AEB">
        <w:rPr>
          <w:rFonts w:ascii="Calibri Light" w:hAnsi="Calibri Light"/>
          <w:sz w:val="20"/>
          <w:szCs w:val="20"/>
        </w:rPr>
        <w:t xml:space="preserve"> </w:t>
      </w:r>
      <w:r>
        <w:rPr>
          <w:rFonts w:ascii="Calibri Light" w:hAnsi="Calibri Light"/>
          <w:b/>
          <w:bCs/>
          <w:sz w:val="20"/>
          <w:szCs w:val="20"/>
        </w:rPr>
        <w:t>i</w:t>
      </w:r>
      <w:r w:rsidRPr="00992AEB">
        <w:rPr>
          <w:rFonts w:ascii="Calibri Light" w:hAnsi="Calibri Light"/>
          <w:b/>
          <w:bCs/>
          <w:sz w:val="20"/>
          <w:szCs w:val="20"/>
        </w:rPr>
        <w:t xml:space="preserve">n Italia RE/MAX si è distinta nel panorama dei gruppi immobiliari in franchising in termini di velocità di crescita ed espansione sul </w:t>
      </w:r>
      <w:r w:rsidRPr="00C40CB4">
        <w:rPr>
          <w:rFonts w:ascii="Calibri Light" w:hAnsi="Calibri Light"/>
          <w:b/>
          <w:bCs/>
          <w:sz w:val="20"/>
          <w:szCs w:val="20"/>
        </w:rPr>
        <w:t>territorio nazionale.</w:t>
      </w:r>
      <w:r w:rsidRPr="00992AEB">
        <w:rPr>
          <w:rFonts w:ascii="Calibri Light" w:hAnsi="Calibri Light"/>
          <w:sz w:val="20"/>
          <w:szCs w:val="20"/>
        </w:rPr>
        <w:t xml:space="preserve"> </w:t>
      </w:r>
    </w:p>
    <w:p w14:paraId="00BDA4BF" w14:textId="77777777" w:rsidR="007F2C7F" w:rsidRDefault="007F2C7F" w:rsidP="007F2C7F">
      <w:pPr>
        <w:shd w:val="clear" w:color="auto" w:fill="FFFFFF"/>
        <w:spacing w:after="150"/>
        <w:jc w:val="both"/>
        <w:rPr>
          <w:rFonts w:asciiTheme="majorHAnsi" w:hAnsiTheme="majorHAnsi" w:cs="Arial"/>
          <w:sz w:val="20"/>
          <w:szCs w:val="20"/>
        </w:rPr>
      </w:pPr>
      <w:r w:rsidRPr="00D30316">
        <w:rPr>
          <w:rFonts w:asciiTheme="majorHAnsi" w:hAnsiTheme="majorHAnsi" w:cs="Arial"/>
          <w:sz w:val="20"/>
          <w:szCs w:val="20"/>
        </w:rPr>
        <w:t xml:space="preserve">Nel 2021 RE/MAX Italia ha registrato un </w:t>
      </w:r>
      <w:r w:rsidRPr="00D30316">
        <w:rPr>
          <w:rFonts w:asciiTheme="majorHAnsi" w:hAnsiTheme="majorHAnsi" w:cs="Arial"/>
          <w:b/>
          <w:bCs/>
          <w:sz w:val="20"/>
          <w:szCs w:val="20"/>
        </w:rPr>
        <w:t>incremento del fatturato aggregato del 36 % rispetto al 2020, superando i 110 milioni di euro</w:t>
      </w:r>
      <w:r w:rsidRPr="00D30316">
        <w:rPr>
          <w:rFonts w:asciiTheme="majorHAnsi" w:hAnsiTheme="majorHAnsi" w:cs="Arial"/>
          <w:sz w:val="20"/>
          <w:szCs w:val="20"/>
        </w:rPr>
        <w:t xml:space="preserve">. </w:t>
      </w:r>
      <w:r w:rsidRPr="00D30316">
        <w:rPr>
          <w:rFonts w:asciiTheme="majorHAnsi" w:hAnsiTheme="majorHAnsi" w:cs="Arial"/>
          <w:b/>
          <w:bCs/>
          <w:sz w:val="20"/>
          <w:szCs w:val="20"/>
        </w:rPr>
        <w:t>Crescita esponenziale pari a +38 % anche per i volumi transati che raggiungono i 3,6 miliardi di euro a fronte di circa 26.000 transazioni</w:t>
      </w:r>
      <w:r w:rsidRPr="00D30316">
        <w:rPr>
          <w:rFonts w:asciiTheme="majorHAnsi" w:hAnsiTheme="majorHAnsi" w:cs="Arial"/>
          <w:sz w:val="20"/>
          <w:szCs w:val="20"/>
        </w:rPr>
        <w:t xml:space="preserve">, anch’esse in aumento rispetto al 2020 (+33 %), ma anche al 2019 (+26 %). Traguardi frutto di una </w:t>
      </w:r>
      <w:r w:rsidRPr="00D30316">
        <w:rPr>
          <w:rFonts w:asciiTheme="majorHAnsi" w:hAnsiTheme="majorHAnsi" w:cs="Arial"/>
          <w:b/>
          <w:bCs/>
          <w:sz w:val="20"/>
          <w:szCs w:val="20"/>
        </w:rPr>
        <w:t xml:space="preserve">strategia fortemente orientata all’utilizzo di strumenti tecnologici, </w:t>
      </w:r>
      <w:r w:rsidRPr="00992AEB">
        <w:rPr>
          <w:rFonts w:ascii="Calibri Light" w:hAnsi="Calibri Light"/>
          <w:sz w:val="20"/>
          <w:szCs w:val="20"/>
        </w:rPr>
        <w:t xml:space="preserve">a </w:t>
      </w:r>
      <w:r w:rsidRPr="00992AEB">
        <w:rPr>
          <w:rFonts w:ascii="Calibri Light" w:hAnsi="Calibri Light"/>
          <w:b/>
          <w:bCs/>
          <w:sz w:val="20"/>
          <w:szCs w:val="20"/>
        </w:rPr>
        <w:t>programmi formativi d’eccellenza erogati da RE/MAX University</w:t>
      </w:r>
      <w:r w:rsidRPr="00992AEB">
        <w:rPr>
          <w:rFonts w:ascii="Calibri Light" w:hAnsi="Calibri Light"/>
          <w:sz w:val="20"/>
          <w:szCs w:val="20"/>
        </w:rPr>
        <w:t xml:space="preserve"> in collaborazione con prestigiosi istituti universitari</w:t>
      </w:r>
      <w:r w:rsidRPr="00C61B2E">
        <w:rPr>
          <w:rFonts w:asciiTheme="majorHAnsi" w:hAnsiTheme="majorHAnsi" w:cs="Arial"/>
          <w:b/>
          <w:bCs/>
          <w:sz w:val="20"/>
          <w:szCs w:val="20"/>
        </w:rPr>
        <w:t xml:space="preserve"> </w:t>
      </w:r>
      <w:r w:rsidRPr="00D30316">
        <w:rPr>
          <w:rFonts w:asciiTheme="majorHAnsi" w:hAnsiTheme="majorHAnsi" w:cs="Arial"/>
          <w:b/>
          <w:bCs/>
          <w:sz w:val="20"/>
          <w:szCs w:val="20"/>
        </w:rPr>
        <w:t>e al recruitment dei migliori professionisti attivi sul mercato</w:t>
      </w:r>
      <w:r w:rsidRPr="00D30316">
        <w:rPr>
          <w:rFonts w:asciiTheme="majorHAnsi" w:hAnsiTheme="majorHAnsi" w:cs="Arial"/>
          <w:sz w:val="20"/>
          <w:szCs w:val="20"/>
        </w:rPr>
        <w:t xml:space="preserve">. </w:t>
      </w:r>
      <w:r>
        <w:rPr>
          <w:rFonts w:asciiTheme="majorHAnsi" w:hAnsiTheme="majorHAnsi" w:cs="Arial"/>
          <w:sz w:val="20"/>
          <w:szCs w:val="20"/>
        </w:rPr>
        <w:t xml:space="preserve">Inoltre, </w:t>
      </w:r>
      <w:r w:rsidRPr="005C05E7">
        <w:rPr>
          <w:rFonts w:asciiTheme="majorHAnsi" w:hAnsiTheme="majorHAnsi" w:cs="Arial"/>
          <w:sz w:val="20"/>
          <w:szCs w:val="20"/>
        </w:rPr>
        <w:t xml:space="preserve">RE/MAX è stata premiata da Great Place to Work® Italia come Certified Company 2021, un’organizzazione nella quale, </w:t>
      </w:r>
      <w:r>
        <w:rPr>
          <w:rFonts w:asciiTheme="majorHAnsi" w:hAnsiTheme="majorHAnsi" w:cs="Arial"/>
          <w:sz w:val="20"/>
          <w:szCs w:val="20"/>
        </w:rPr>
        <w:t>secondo</w:t>
      </w:r>
      <w:r w:rsidRPr="005C05E7">
        <w:rPr>
          <w:rFonts w:asciiTheme="majorHAnsi" w:hAnsiTheme="majorHAnsi" w:cs="Arial"/>
          <w:sz w:val="20"/>
          <w:szCs w:val="20"/>
        </w:rPr>
        <w:t xml:space="preserve"> un</w:t>
      </w:r>
      <w:r>
        <w:rPr>
          <w:rFonts w:asciiTheme="majorHAnsi" w:hAnsiTheme="majorHAnsi" w:cs="Arial"/>
          <w:sz w:val="20"/>
          <w:szCs w:val="20"/>
        </w:rPr>
        <w:t>’</w:t>
      </w:r>
      <w:r w:rsidRPr="005C05E7">
        <w:rPr>
          <w:rFonts w:asciiTheme="majorHAnsi" w:hAnsiTheme="majorHAnsi" w:cs="Arial"/>
          <w:sz w:val="20"/>
          <w:szCs w:val="20"/>
        </w:rPr>
        <w:t>indagine sul clima interno, i collaboratori</w:t>
      </w:r>
      <w:r>
        <w:rPr>
          <w:rFonts w:asciiTheme="majorHAnsi" w:hAnsiTheme="majorHAnsi" w:cs="Arial"/>
          <w:sz w:val="20"/>
          <w:szCs w:val="20"/>
        </w:rPr>
        <w:t xml:space="preserve"> </w:t>
      </w:r>
      <w:r w:rsidRPr="005C05E7">
        <w:rPr>
          <w:rFonts w:asciiTheme="majorHAnsi" w:hAnsiTheme="majorHAnsi" w:cs="Arial"/>
          <w:sz w:val="20"/>
          <w:szCs w:val="20"/>
        </w:rPr>
        <w:t xml:space="preserve">hanno espresso grande soddisfazione e opinioni positive. Questo è stato possibile perché </w:t>
      </w:r>
      <w:r>
        <w:rPr>
          <w:rFonts w:asciiTheme="majorHAnsi" w:hAnsiTheme="majorHAnsi" w:cs="Arial"/>
          <w:sz w:val="20"/>
          <w:szCs w:val="20"/>
        </w:rPr>
        <w:t xml:space="preserve">da sempre l’attività di </w:t>
      </w:r>
      <w:r w:rsidRPr="005C05E7">
        <w:rPr>
          <w:rFonts w:asciiTheme="majorHAnsi" w:hAnsiTheme="majorHAnsi" w:cs="Arial"/>
          <w:sz w:val="20"/>
          <w:szCs w:val="20"/>
        </w:rPr>
        <w:t>RE/MAX è focalizzata sul benessere delle persone ed è contraddistinta da un clima organizzativo basato su relazioni di fiducia.</w:t>
      </w:r>
      <w:r>
        <w:rPr>
          <w:rFonts w:asciiTheme="majorHAnsi" w:hAnsiTheme="majorHAnsi" w:cs="Arial"/>
          <w:sz w:val="20"/>
          <w:szCs w:val="20"/>
        </w:rPr>
        <w:t xml:space="preserve"> </w:t>
      </w:r>
    </w:p>
    <w:p w14:paraId="0665E272" w14:textId="77777777" w:rsidR="007F2C7F" w:rsidRPr="000B3672" w:rsidRDefault="007F2C7F" w:rsidP="007F2C7F">
      <w:pPr>
        <w:shd w:val="clear" w:color="auto" w:fill="FFFFFF"/>
        <w:spacing w:after="150"/>
        <w:jc w:val="both"/>
        <w:rPr>
          <w:rFonts w:asciiTheme="majorHAnsi" w:hAnsiTheme="majorHAnsi" w:cs="Arial"/>
          <w:sz w:val="20"/>
          <w:szCs w:val="20"/>
        </w:rPr>
      </w:pPr>
      <w:r w:rsidRPr="00D30316">
        <w:rPr>
          <w:rFonts w:asciiTheme="majorHAnsi" w:hAnsiTheme="majorHAnsi" w:cs="Arial"/>
          <w:sz w:val="20"/>
          <w:szCs w:val="20"/>
        </w:rPr>
        <w:t xml:space="preserve">Con un network attualmente composto </w:t>
      </w:r>
      <w:r w:rsidRPr="00C61B2E">
        <w:rPr>
          <w:rFonts w:ascii="Calibri Light" w:hAnsi="Calibri Light"/>
          <w:sz w:val="20"/>
          <w:szCs w:val="20"/>
        </w:rPr>
        <w:t xml:space="preserve">da </w:t>
      </w:r>
      <w:r w:rsidRPr="00C61B2E">
        <w:rPr>
          <w:rFonts w:ascii="Calibri Light" w:hAnsi="Calibri Light"/>
          <w:b/>
          <w:bCs/>
          <w:sz w:val="20"/>
          <w:szCs w:val="20"/>
        </w:rPr>
        <w:t>più di 450</w:t>
      </w:r>
      <w:r w:rsidRPr="00C61B2E">
        <w:rPr>
          <w:rFonts w:ascii="Calibri Light" w:hAnsi="Calibri Light"/>
          <w:sz w:val="20"/>
          <w:szCs w:val="20"/>
        </w:rPr>
        <w:t xml:space="preserve"> agenzie e oltre </w:t>
      </w:r>
      <w:r w:rsidRPr="00C61B2E">
        <w:rPr>
          <w:rFonts w:ascii="Calibri Light" w:hAnsi="Calibri Light"/>
          <w:b/>
          <w:bCs/>
          <w:sz w:val="20"/>
          <w:szCs w:val="20"/>
        </w:rPr>
        <w:t>4.</w:t>
      </w:r>
      <w:r w:rsidRPr="00A62E37">
        <w:rPr>
          <w:rFonts w:ascii="Calibri Light" w:hAnsi="Calibri Light"/>
          <w:b/>
          <w:bCs/>
          <w:sz w:val="20"/>
          <w:szCs w:val="20"/>
        </w:rPr>
        <w:t>6</w:t>
      </w:r>
      <w:r w:rsidRPr="00A60D6D">
        <w:rPr>
          <w:rFonts w:ascii="Calibri Light" w:hAnsi="Calibri Light"/>
          <w:b/>
          <w:bCs/>
          <w:sz w:val="20"/>
          <w:szCs w:val="20"/>
        </w:rPr>
        <w:t>00</w:t>
      </w:r>
      <w:r w:rsidRPr="00A60D6D">
        <w:rPr>
          <w:rFonts w:ascii="Calibri Light" w:hAnsi="Calibri Light"/>
          <w:sz w:val="20"/>
          <w:szCs w:val="20"/>
        </w:rPr>
        <w:t xml:space="preserve"> agenti </w:t>
      </w:r>
      <w:r w:rsidRPr="00D30316">
        <w:rPr>
          <w:rFonts w:asciiTheme="majorHAnsi" w:hAnsiTheme="majorHAnsi" w:cs="Arial"/>
          <w:sz w:val="20"/>
          <w:szCs w:val="20"/>
        </w:rPr>
        <w:t xml:space="preserve">in costante aumento, RE/MAX affronta </w:t>
      </w:r>
      <w:r w:rsidRPr="00C61B2E">
        <w:rPr>
          <w:rFonts w:asciiTheme="majorHAnsi" w:hAnsiTheme="majorHAnsi" w:cs="Arial"/>
          <w:sz w:val="20"/>
          <w:szCs w:val="20"/>
        </w:rPr>
        <w:t>il</w:t>
      </w:r>
      <w:r w:rsidRPr="00D30316">
        <w:rPr>
          <w:rFonts w:asciiTheme="majorHAnsi" w:hAnsiTheme="majorHAnsi" w:cs="Arial"/>
          <w:sz w:val="20"/>
          <w:szCs w:val="20"/>
        </w:rPr>
        <w:t xml:space="preserve"> 2022 puntando a superare le 500 agenzie in Italia e a potenziare ulteriormente la rete raggiungendo quota 5.500 agenti affiliati. </w:t>
      </w:r>
      <w:r w:rsidRPr="00C61B2E">
        <w:rPr>
          <w:rFonts w:asciiTheme="majorHAnsi" w:hAnsiTheme="majorHAnsi" w:cs="Arial"/>
          <w:sz w:val="20"/>
          <w:szCs w:val="20"/>
        </w:rPr>
        <w:t>Il tutto con la promessa</w:t>
      </w:r>
      <w:r w:rsidRPr="00A62E37">
        <w:rPr>
          <w:rFonts w:asciiTheme="majorHAnsi" w:hAnsiTheme="majorHAnsi" w:cs="Arial"/>
          <w:sz w:val="20"/>
          <w:szCs w:val="20"/>
        </w:rPr>
        <w:t xml:space="preserve"> </w:t>
      </w:r>
      <w:r w:rsidRPr="00A60D6D">
        <w:rPr>
          <w:rFonts w:asciiTheme="majorHAnsi" w:hAnsiTheme="majorHAnsi" w:cs="Arial"/>
          <w:sz w:val="20"/>
          <w:szCs w:val="20"/>
        </w:rPr>
        <w:t xml:space="preserve">al cliente di </w:t>
      </w:r>
      <w:r w:rsidRPr="00D30316">
        <w:rPr>
          <w:rFonts w:asciiTheme="majorHAnsi" w:hAnsiTheme="majorHAnsi" w:cs="Arial"/>
          <w:b/>
          <w:bCs/>
          <w:sz w:val="20"/>
          <w:szCs w:val="20"/>
        </w:rPr>
        <w:t xml:space="preserve">trovare il miglior acquirente, e trovarlo rapidamente, rendendo </w:t>
      </w:r>
      <w:r>
        <w:rPr>
          <w:rFonts w:asciiTheme="majorHAnsi" w:hAnsiTheme="majorHAnsi" w:cs="Arial"/>
          <w:b/>
          <w:bCs/>
          <w:sz w:val="20"/>
          <w:szCs w:val="20"/>
        </w:rPr>
        <w:t xml:space="preserve">la </w:t>
      </w:r>
      <w:r w:rsidRPr="00C61B2E">
        <w:rPr>
          <w:rFonts w:ascii="Calibri Light" w:hAnsi="Calibri Light"/>
          <w:b/>
          <w:bCs/>
          <w:sz w:val="20"/>
          <w:szCs w:val="20"/>
        </w:rPr>
        <w:t>customer experience</w:t>
      </w:r>
      <w:r w:rsidRPr="00C61B2E">
        <w:rPr>
          <w:rFonts w:ascii="Calibri Light" w:hAnsi="Calibri Light"/>
          <w:sz w:val="20"/>
          <w:szCs w:val="20"/>
        </w:rPr>
        <w:t xml:space="preserve"> più confo</w:t>
      </w:r>
      <w:r w:rsidRPr="00A62E37">
        <w:rPr>
          <w:rFonts w:ascii="Calibri Light" w:hAnsi="Calibri Light"/>
          <w:sz w:val="20"/>
          <w:szCs w:val="20"/>
        </w:rPr>
        <w:t xml:space="preserve">rtevole </w:t>
      </w:r>
      <w:r w:rsidRPr="00A60D6D">
        <w:rPr>
          <w:rFonts w:ascii="Calibri Light" w:hAnsi="Calibri Light"/>
          <w:sz w:val="20"/>
          <w:szCs w:val="20"/>
        </w:rPr>
        <w:t>e</w:t>
      </w:r>
      <w:r w:rsidRPr="00D30316">
        <w:rPr>
          <w:rFonts w:asciiTheme="majorHAnsi" w:hAnsiTheme="majorHAnsi" w:cs="Arial"/>
          <w:b/>
          <w:bCs/>
          <w:sz w:val="20"/>
          <w:szCs w:val="20"/>
        </w:rPr>
        <w:t xml:space="preserve"> più soddisfacente in termini economici.</w:t>
      </w:r>
      <w:r w:rsidRPr="00C61B2E">
        <w:rPr>
          <w:rFonts w:asciiTheme="majorHAnsi" w:hAnsiTheme="majorHAnsi" w:cs="Arial"/>
          <w:b/>
          <w:bCs/>
        </w:rPr>
        <w:t xml:space="preserve"> </w:t>
      </w:r>
    </w:p>
    <w:p w14:paraId="0DACE597" w14:textId="77777777" w:rsidR="007F2C7F" w:rsidRDefault="007F2C7F" w:rsidP="007F2C7F">
      <w:pPr>
        <w:spacing w:line="240" w:lineRule="auto"/>
        <w:jc w:val="both"/>
        <w:rPr>
          <w:rFonts w:ascii="Calibri Light" w:hAnsi="Calibri Light"/>
          <w:sz w:val="20"/>
          <w:szCs w:val="20"/>
        </w:rPr>
      </w:pPr>
      <w:r>
        <w:rPr>
          <w:rFonts w:ascii="Calibri Light" w:hAnsi="Calibri Light"/>
          <w:b/>
          <w:bCs/>
          <w:sz w:val="20"/>
          <w:szCs w:val="20"/>
        </w:rPr>
        <w:t>Altro plus esclusivo</w:t>
      </w:r>
      <w:r>
        <w:rPr>
          <w:rFonts w:ascii="Calibri Light" w:hAnsi="Calibri Light"/>
          <w:sz w:val="20"/>
          <w:szCs w:val="20"/>
        </w:rPr>
        <w:t xml:space="preserve"> del Gruppo RE/MAX, </w:t>
      </w:r>
      <w:r>
        <w:rPr>
          <w:rFonts w:ascii="Calibri Light" w:hAnsi="Calibri Light"/>
          <w:b/>
          <w:bCs/>
          <w:sz w:val="20"/>
          <w:szCs w:val="20"/>
        </w:rPr>
        <w:t>l’attività svolta dal Centro Studi RE/MAX</w:t>
      </w:r>
      <w:r>
        <w:rPr>
          <w:rFonts w:ascii="Calibri Light" w:hAnsi="Calibri Light"/>
          <w:sz w:val="20"/>
          <w:szCs w:val="20"/>
        </w:rPr>
        <w:t>, che mette a disposizione del network in tempo reale informazioni qualitative e quantitative, con focus sull’andamento dei prezzi e sulle tendenze delle diverse aree geografiche e dei desiderata di venditori e compratori, raccolti nei report periodici di Real Estate DATA HUB.</w:t>
      </w:r>
    </w:p>
    <w:p w14:paraId="33581E42" w14:textId="77777777" w:rsidR="00DA70A8" w:rsidRDefault="00DA70A8" w:rsidP="00E37C31">
      <w:pPr>
        <w:pStyle w:val="NormaleWeb"/>
        <w:shd w:val="clear" w:color="auto" w:fill="FFFFFF"/>
        <w:spacing w:after="0" w:afterAutospacing="0" w:line="276" w:lineRule="auto"/>
        <w:jc w:val="both"/>
        <w:rPr>
          <w:rFonts w:asciiTheme="majorHAnsi" w:hAnsiTheme="majorHAnsi"/>
          <w:b/>
          <w:sz w:val="20"/>
          <w:szCs w:val="20"/>
        </w:rPr>
      </w:pPr>
      <w:r w:rsidRPr="006360C4">
        <w:rPr>
          <w:rFonts w:asciiTheme="majorHAnsi" w:hAnsiTheme="majorHAnsi"/>
          <w:b/>
          <w:sz w:val="20"/>
          <w:szCs w:val="20"/>
        </w:rPr>
        <w:t>COMPANY PROFILE AVALON REAL ESTATE</w:t>
      </w:r>
      <w:r>
        <w:rPr>
          <w:rFonts w:asciiTheme="majorHAnsi" w:hAnsiTheme="majorHAnsi"/>
          <w:b/>
          <w:sz w:val="20"/>
          <w:szCs w:val="20"/>
        </w:rPr>
        <w:t xml:space="preserve"> </w:t>
      </w:r>
    </w:p>
    <w:p w14:paraId="568DA28A" w14:textId="77777777" w:rsidR="00DA70A8" w:rsidRDefault="00DA70A8" w:rsidP="008D59ED">
      <w:pPr>
        <w:spacing w:line="240" w:lineRule="auto"/>
        <w:jc w:val="both"/>
        <w:rPr>
          <w:rFonts w:asciiTheme="majorHAnsi" w:hAnsiTheme="majorHAnsi"/>
          <w:sz w:val="20"/>
          <w:szCs w:val="20"/>
        </w:rPr>
      </w:pPr>
      <w:r w:rsidRPr="00ED24D8">
        <w:rPr>
          <w:rFonts w:asciiTheme="majorHAnsi" w:hAnsiTheme="majorHAnsi"/>
          <w:b/>
          <w:bCs/>
          <w:sz w:val="20"/>
          <w:szCs w:val="20"/>
        </w:rPr>
        <w:t xml:space="preserve">Avalon Real Estate, </w:t>
      </w:r>
      <w:r w:rsidRPr="00ED24D8">
        <w:rPr>
          <w:rFonts w:asciiTheme="majorHAnsi" w:hAnsiTheme="majorHAnsi"/>
          <w:sz w:val="20"/>
          <w:szCs w:val="20"/>
        </w:rPr>
        <w:t>società certificata RICS,</w:t>
      </w:r>
      <w:r w:rsidRPr="00ED24D8">
        <w:rPr>
          <w:rFonts w:asciiTheme="majorHAnsi" w:hAnsiTheme="majorHAnsi"/>
          <w:b/>
          <w:bCs/>
          <w:sz w:val="20"/>
          <w:szCs w:val="20"/>
        </w:rPr>
        <w:t xml:space="preserve"> </w:t>
      </w:r>
      <w:r w:rsidRPr="00ED24D8">
        <w:rPr>
          <w:rFonts w:asciiTheme="majorHAnsi" w:hAnsiTheme="majorHAnsi"/>
          <w:sz w:val="20"/>
          <w:szCs w:val="20"/>
        </w:rPr>
        <w:t>nasce nel 2002 da un gruppo di professionisti provenienti da ambiti specialistici eterogenei che decidono di mettere a fattor comune il proprio know-how e la propria passione e di finalizzarli al mondo del Real Estate.</w:t>
      </w:r>
    </w:p>
    <w:p w14:paraId="12A17CCD"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La cultura aziendale viene fondata sulla diversificazione delle competenze e sulla sinergia fra di esse, sulla volontà di garantire ai clienti risultati affidabili e tempestivi, sulla formazione e crescita continua.</w:t>
      </w:r>
    </w:p>
    <w:p w14:paraId="583D70D4"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Negli anni Avalon ha acquisito un grado sempre maggiore di riconoscimento e fiducia fra i propri clienti e si è affermata nel ruolo di consulente immobiliare, dando prova delle proprie capacità nell’individuare soluzioni su misura per ogni esigenza che può sorgere in fase di acquisizione, gestione e dismissione di patrimoni immobiliari.</w:t>
      </w:r>
    </w:p>
    <w:p w14:paraId="481E633C"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 xml:space="preserve">A completare il percorso di crescita nel 2017 nasce </w:t>
      </w:r>
      <w:r w:rsidRPr="00ED24D8">
        <w:rPr>
          <w:rFonts w:asciiTheme="majorHAnsi" w:hAnsiTheme="majorHAnsi"/>
          <w:b/>
          <w:bCs/>
          <w:sz w:val="20"/>
          <w:szCs w:val="20"/>
        </w:rPr>
        <w:t>Avalon Technical Services,</w:t>
      </w:r>
      <w:r w:rsidRPr="00ED24D8">
        <w:rPr>
          <w:rFonts w:asciiTheme="majorHAnsi" w:hAnsiTheme="majorHAnsi"/>
          <w:sz w:val="20"/>
          <w:szCs w:val="20"/>
        </w:rPr>
        <w:t xml:space="preserve"> focalizzata sui servizi di natura tecnica per affiancare i propri clienti nei momenti di indagine, progettazione, realizzazione e trasformazione dei propri asset immobiliari.</w:t>
      </w:r>
    </w:p>
    <w:p w14:paraId="50D1D60E" w14:textId="77777777" w:rsidR="00DA70A8" w:rsidRPr="00ED24D8" w:rsidRDefault="00DA70A8" w:rsidP="008D59ED">
      <w:pPr>
        <w:spacing w:line="240" w:lineRule="auto"/>
        <w:jc w:val="both"/>
        <w:rPr>
          <w:rFonts w:asciiTheme="majorHAnsi" w:hAnsiTheme="majorHAnsi"/>
          <w:sz w:val="20"/>
          <w:szCs w:val="20"/>
        </w:rPr>
      </w:pPr>
      <w:r w:rsidRPr="00ED24D8">
        <w:rPr>
          <w:rFonts w:asciiTheme="majorHAnsi" w:hAnsiTheme="majorHAnsi"/>
          <w:sz w:val="20"/>
          <w:szCs w:val="20"/>
        </w:rPr>
        <w:t>Avalon opera come</w:t>
      </w:r>
      <w:r w:rsidRPr="00ED24D8">
        <w:rPr>
          <w:rFonts w:asciiTheme="majorHAnsi" w:hAnsiTheme="majorHAnsi"/>
          <w:b/>
          <w:bCs/>
          <w:sz w:val="20"/>
          <w:szCs w:val="20"/>
        </w:rPr>
        <w:t xml:space="preserve"> </w:t>
      </w:r>
      <w:r w:rsidRPr="00ED24D8">
        <w:rPr>
          <w:rFonts w:asciiTheme="majorHAnsi" w:hAnsiTheme="majorHAnsi"/>
          <w:sz w:val="20"/>
          <w:szCs w:val="20"/>
        </w:rPr>
        <w:t>unico</w:t>
      </w:r>
      <w:r w:rsidRPr="00ED24D8">
        <w:rPr>
          <w:rFonts w:asciiTheme="majorHAnsi" w:hAnsiTheme="majorHAnsi"/>
          <w:b/>
          <w:bCs/>
          <w:sz w:val="20"/>
          <w:szCs w:val="20"/>
        </w:rPr>
        <w:t xml:space="preserve"> </w:t>
      </w:r>
      <w:r w:rsidRPr="00ED24D8">
        <w:rPr>
          <w:rFonts w:asciiTheme="majorHAnsi" w:hAnsiTheme="majorHAnsi"/>
          <w:sz w:val="20"/>
          <w:szCs w:val="20"/>
        </w:rPr>
        <w:t>advisor attraverso le proprie competenze multidisciplinari garantendo un supporto strategico completo in ogni fase del processo di valorizzazione immobiliare.</w:t>
      </w:r>
    </w:p>
    <w:p w14:paraId="650ACA62" w14:textId="77777777" w:rsidR="008D59ED" w:rsidRPr="008D59ED" w:rsidRDefault="008D59ED" w:rsidP="008D59ED">
      <w:pPr>
        <w:pStyle w:val="Default"/>
        <w:jc w:val="both"/>
        <w:rPr>
          <w:rFonts w:asciiTheme="majorHAnsi" w:eastAsia="Times New Roman" w:hAnsiTheme="majorHAnsi" w:cs="Times New Roman"/>
          <w:b/>
          <w:sz w:val="20"/>
          <w:szCs w:val="20"/>
          <w:lang w:eastAsia="it-IT"/>
        </w:rPr>
      </w:pPr>
      <w:r w:rsidRPr="008D59ED">
        <w:rPr>
          <w:rFonts w:asciiTheme="majorHAnsi" w:eastAsia="Times New Roman" w:hAnsiTheme="majorHAnsi" w:cs="Times New Roman"/>
          <w:b/>
          <w:sz w:val="20"/>
          <w:szCs w:val="20"/>
          <w:lang w:eastAsia="it-IT"/>
        </w:rPr>
        <w:t>24MAX PROFILO AZIENDALE</w:t>
      </w:r>
    </w:p>
    <w:p w14:paraId="6CABEC3C" w14:textId="77777777" w:rsidR="007F2C7F" w:rsidRPr="007F2C7F" w:rsidRDefault="007F2C7F" w:rsidP="007F2C7F">
      <w:pPr>
        <w:pStyle w:val="Default"/>
        <w:spacing w:after="240"/>
        <w:rPr>
          <w:rFonts w:asciiTheme="majorHAnsi" w:eastAsia="Times New Roman" w:hAnsiTheme="majorHAnsi" w:cs="Times New Roman"/>
          <w:sz w:val="20"/>
          <w:szCs w:val="20"/>
          <w:lang w:eastAsia="it-IT"/>
        </w:rPr>
      </w:pPr>
      <w:r w:rsidRPr="007F2C7F">
        <w:rPr>
          <w:rFonts w:asciiTheme="majorHAnsi" w:eastAsia="Times New Roman" w:hAnsiTheme="majorHAnsi" w:cs="Times New Roman"/>
          <w:b/>
          <w:bCs/>
          <w:sz w:val="20"/>
          <w:szCs w:val="20"/>
          <w:lang w:eastAsia="it-IT"/>
        </w:rPr>
        <w:t>24MAX Spa</w:t>
      </w:r>
      <w:r w:rsidRPr="007F2C7F">
        <w:rPr>
          <w:rFonts w:asciiTheme="majorHAnsi" w:eastAsia="Times New Roman" w:hAnsiTheme="majorHAnsi" w:cs="Times New Roman"/>
          <w:sz w:val="20"/>
          <w:szCs w:val="20"/>
          <w:lang w:eastAsia="it-IT"/>
        </w:rPr>
        <w:t xml:space="preserve"> è la Società di Mediazione Creditizia ideata e realizzata per dare una risposta concreta all’esigenza di consulenza finanziaria della clientela che compra casa affidandosi ad una Agenzia Immobiliare RE/MAX, in tempo reale. 24MAX è partecipata da RE/MAX Italia e 24Finance Spa.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Specialist di 24MAX, professionisti selezionati tra i migliori presenti sul mercato del credito per la loro competenza ed esperienza.</w:t>
      </w:r>
    </w:p>
    <w:p w14:paraId="1A92B62E" w14:textId="77777777" w:rsidR="007F2C7F" w:rsidRPr="007F2C7F" w:rsidRDefault="007F2C7F" w:rsidP="007F2C7F">
      <w:pPr>
        <w:pStyle w:val="Default"/>
        <w:spacing w:after="240"/>
        <w:rPr>
          <w:rFonts w:asciiTheme="majorHAnsi" w:eastAsia="Times New Roman" w:hAnsiTheme="majorHAnsi" w:cs="Times New Roman"/>
          <w:sz w:val="20"/>
          <w:szCs w:val="20"/>
          <w:lang w:eastAsia="it-IT"/>
        </w:rPr>
      </w:pPr>
      <w:r w:rsidRPr="007F2C7F">
        <w:rPr>
          <w:rFonts w:asciiTheme="majorHAnsi" w:eastAsia="Times New Roman" w:hAnsiTheme="majorHAnsi" w:cs="Times New Roman"/>
          <w:sz w:val="20"/>
          <w:szCs w:val="20"/>
          <w:lang w:eastAsia="it-IT"/>
        </w:rPr>
        <w:lastRenderedPageBreak/>
        <w:t>Ad oggi 24MAX ha attivato convenzioni con primari istituti di credito nazionali e territoriali, quali: Agos, Banca Centro Lazio, Banca Progetto, BCC di Roma, BNL, Cassa di Risparmio di Asti, Centro Veneto Bassano Banca, CheBanca!, Compass, Credit Agricole, Extra Banca, Fincontinuo, Gruppo Creval, IBL Banca, ING Bank, Banca Sant’Angelo, Prestiamoci, Banca Centro Lazio e Younited.</w:t>
      </w:r>
    </w:p>
    <w:p w14:paraId="2FF61508" w14:textId="77777777" w:rsidR="00DA70A8" w:rsidRDefault="00DA70A8" w:rsidP="00DA70A8">
      <w:pPr>
        <w:pStyle w:val="Default"/>
        <w:spacing w:after="240"/>
        <w:rPr>
          <w:b/>
          <w:sz w:val="22"/>
          <w:szCs w:val="22"/>
          <w:highlight w:val="yellow"/>
        </w:rPr>
      </w:pPr>
    </w:p>
    <w:p w14:paraId="0E91A0DC" w14:textId="77777777" w:rsidR="00DA70A8" w:rsidRDefault="00DA70A8" w:rsidP="00DA70A8">
      <w:pPr>
        <w:spacing w:after="0"/>
        <w:rPr>
          <w:rFonts w:ascii="Calibri Light" w:hAnsi="Calibri Light" w:cs="Calibri Light"/>
          <w:b/>
          <w:bCs/>
          <w:color w:val="000000"/>
          <w:u w:val="single"/>
        </w:rPr>
      </w:pPr>
      <w:r>
        <w:rPr>
          <w:rFonts w:ascii="Calibri Light" w:hAnsi="Calibri Light" w:cs="Calibri Light"/>
          <w:b/>
          <w:bCs/>
          <w:color w:val="000000"/>
          <w:u w:val="single"/>
        </w:rPr>
        <w:t xml:space="preserve">Pinkommunication srl - Ufficio stampa RE/MAX Italia </w:t>
      </w:r>
    </w:p>
    <w:p w14:paraId="03D4E04E" w14:textId="77777777" w:rsidR="00DA70A8" w:rsidRDefault="00DA70A8" w:rsidP="00DA70A8">
      <w:pPr>
        <w:spacing w:after="0"/>
        <w:rPr>
          <w:rFonts w:ascii="Calibri Light" w:hAnsi="Calibri Light" w:cs="Calibri Light"/>
          <w:color w:val="000000"/>
        </w:rPr>
      </w:pPr>
      <w:r>
        <w:rPr>
          <w:rFonts w:ascii="Calibri Light" w:hAnsi="Calibri Light" w:cs="Calibri Light"/>
          <w:color w:val="000000"/>
        </w:rPr>
        <w:t xml:space="preserve">Cristina Cortellezzi – Laura Premoli – Claudia Valerani </w:t>
      </w:r>
    </w:p>
    <w:p w14:paraId="18ADD5A6" w14:textId="77777777" w:rsidR="00DA70A8" w:rsidRDefault="006D0E04" w:rsidP="00DA70A8">
      <w:pPr>
        <w:spacing w:after="0"/>
        <w:rPr>
          <w:rFonts w:ascii="Calibri Light" w:hAnsi="Calibri Light" w:cs="Calibri Light"/>
          <w:color w:val="000000"/>
        </w:rPr>
      </w:pPr>
      <w:hyperlink r:id="rId18" w:history="1">
        <w:r w:rsidR="00DA70A8">
          <w:rPr>
            <w:rStyle w:val="Collegamentoipertestuale"/>
            <w:rFonts w:ascii="Calibri Light" w:hAnsi="Calibri Light" w:cs="Calibri Light"/>
            <w:color w:val="000000"/>
          </w:rPr>
          <w:t>info@pinkommunication.it</w:t>
        </w:r>
      </w:hyperlink>
      <w:r w:rsidR="00DA70A8">
        <w:rPr>
          <w:rFonts w:ascii="Calibri Light" w:hAnsi="Calibri Light" w:cs="Calibri Light"/>
          <w:color w:val="000000"/>
        </w:rPr>
        <w:t xml:space="preserve"> </w:t>
      </w:r>
    </w:p>
    <w:p w14:paraId="5FE9F574" w14:textId="77777777" w:rsidR="00DA70A8" w:rsidRDefault="00DA70A8" w:rsidP="00DA70A8">
      <w:pPr>
        <w:spacing w:after="0"/>
        <w:rPr>
          <w:rFonts w:ascii="Calibri Light" w:hAnsi="Calibri Light" w:cs="Calibri Light"/>
          <w:color w:val="000000"/>
        </w:rPr>
      </w:pPr>
      <w:r>
        <w:rPr>
          <w:rFonts w:ascii="Calibri Light" w:hAnsi="Calibri Light" w:cs="Calibri Light"/>
          <w:color w:val="000000"/>
        </w:rPr>
        <w:t>T. 02 89077160 – M. 340 1044227</w:t>
      </w:r>
    </w:p>
    <w:p w14:paraId="2D7A4D2A" w14:textId="77777777" w:rsidR="00DA70A8" w:rsidRDefault="00DA70A8" w:rsidP="00DA70A8">
      <w:pPr>
        <w:jc w:val="both"/>
      </w:pPr>
    </w:p>
    <w:p w14:paraId="4A280D4C" w14:textId="77777777" w:rsidR="00DA70A8" w:rsidRPr="008F6436" w:rsidRDefault="00DA70A8" w:rsidP="00D6515F">
      <w:pPr>
        <w:spacing w:after="0" w:line="276" w:lineRule="auto"/>
      </w:pPr>
    </w:p>
    <w:sectPr w:rsidR="00DA70A8" w:rsidRPr="008F6436">
      <w:headerReference w:type="even" r:id="rId19"/>
      <w:headerReference w:type="default" r:id="rId20"/>
      <w:footerReference w:type="even" r:id="rId21"/>
      <w:footerReference w:type="default" r:id="rId22"/>
      <w:headerReference w:type="first" r:id="rId23"/>
      <w:footerReference w:type="first" r:id="rI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B07F1" w14:textId="77777777" w:rsidR="00D96760" w:rsidRDefault="00D96760" w:rsidP="00F4010E">
      <w:pPr>
        <w:spacing w:after="0" w:line="240" w:lineRule="auto"/>
      </w:pPr>
      <w:r>
        <w:separator/>
      </w:r>
    </w:p>
  </w:endnote>
  <w:endnote w:type="continuationSeparator" w:id="0">
    <w:p w14:paraId="11E2F773" w14:textId="77777777" w:rsidR="00D96760" w:rsidRDefault="00D96760" w:rsidP="00F4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IN Pro Light">
    <w:altName w:val="DIN Pro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F70A" w14:textId="77777777" w:rsidR="001566BE" w:rsidRDefault="001566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6E85" w14:textId="77777777" w:rsidR="001566BE" w:rsidRDefault="001566B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8296" w14:textId="77777777" w:rsidR="001566BE" w:rsidRDefault="001566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D96B0" w14:textId="77777777" w:rsidR="00D96760" w:rsidRDefault="00D96760" w:rsidP="00F4010E">
      <w:pPr>
        <w:spacing w:after="0" w:line="240" w:lineRule="auto"/>
      </w:pPr>
      <w:r>
        <w:separator/>
      </w:r>
    </w:p>
  </w:footnote>
  <w:footnote w:type="continuationSeparator" w:id="0">
    <w:p w14:paraId="06441DD2" w14:textId="77777777" w:rsidR="00D96760" w:rsidRDefault="00D96760" w:rsidP="00F40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2CCC1" w14:textId="77777777" w:rsidR="001566BE" w:rsidRDefault="001566B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55D9" w14:textId="7479A7C8" w:rsidR="00142412" w:rsidRDefault="00142412" w:rsidP="00142412">
    <w:pPr>
      <w:pStyle w:val="Intestazione"/>
      <w:jc w:val="center"/>
    </w:pPr>
    <w:r>
      <w:rPr>
        <w:noProof/>
        <w:lang w:eastAsia="it-IT"/>
      </w:rPr>
      <w:drawing>
        <wp:inline distT="0" distB="0" distL="0" distR="0" wp14:anchorId="49C7B6A9" wp14:editId="32D6C613">
          <wp:extent cx="5829935" cy="526415"/>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935" cy="526415"/>
                  </a:xfrm>
                  <a:prstGeom prst="rect">
                    <a:avLst/>
                  </a:prstGeom>
                  <a:noFill/>
                  <a:ln>
                    <a:noFill/>
                  </a:ln>
                </pic:spPr>
              </pic:pic>
            </a:graphicData>
          </a:graphic>
        </wp:inline>
      </w:drawing>
    </w:r>
  </w:p>
  <w:p w14:paraId="3758ACE2" w14:textId="77777777" w:rsidR="00142412" w:rsidRDefault="0014241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7B614" w14:textId="77777777" w:rsidR="001566BE" w:rsidRDefault="001566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57C12"/>
    <w:multiLevelType w:val="hybridMultilevel"/>
    <w:tmpl w:val="80023D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2"/>
    <w:rsid w:val="0001231D"/>
    <w:rsid w:val="00034741"/>
    <w:rsid w:val="000524E7"/>
    <w:rsid w:val="000539D0"/>
    <w:rsid w:val="00066D31"/>
    <w:rsid w:val="00073DDE"/>
    <w:rsid w:val="000B47B8"/>
    <w:rsid w:val="000B6C55"/>
    <w:rsid w:val="000C579C"/>
    <w:rsid w:val="000D68DE"/>
    <w:rsid w:val="000D76BB"/>
    <w:rsid w:val="000E4033"/>
    <w:rsid w:val="000E646B"/>
    <w:rsid w:val="000F2E5F"/>
    <w:rsid w:val="00104ADE"/>
    <w:rsid w:val="00114F29"/>
    <w:rsid w:val="00131647"/>
    <w:rsid w:val="00137ABB"/>
    <w:rsid w:val="00142412"/>
    <w:rsid w:val="00145621"/>
    <w:rsid w:val="001566BE"/>
    <w:rsid w:val="001628DF"/>
    <w:rsid w:val="00186B76"/>
    <w:rsid w:val="001A06E3"/>
    <w:rsid w:val="001E04C7"/>
    <w:rsid w:val="001F528F"/>
    <w:rsid w:val="00204CA9"/>
    <w:rsid w:val="002056AF"/>
    <w:rsid w:val="00211494"/>
    <w:rsid w:val="00212724"/>
    <w:rsid w:val="00226BD4"/>
    <w:rsid w:val="00234754"/>
    <w:rsid w:val="00245E47"/>
    <w:rsid w:val="00253234"/>
    <w:rsid w:val="00263E23"/>
    <w:rsid w:val="00296715"/>
    <w:rsid w:val="002A3681"/>
    <w:rsid w:val="002B7EAD"/>
    <w:rsid w:val="002D0E16"/>
    <w:rsid w:val="002D4117"/>
    <w:rsid w:val="002F7F41"/>
    <w:rsid w:val="003039DF"/>
    <w:rsid w:val="00322257"/>
    <w:rsid w:val="0032662D"/>
    <w:rsid w:val="003403B3"/>
    <w:rsid w:val="003451F3"/>
    <w:rsid w:val="003504F2"/>
    <w:rsid w:val="00354628"/>
    <w:rsid w:val="00382812"/>
    <w:rsid w:val="00396536"/>
    <w:rsid w:val="00396DBC"/>
    <w:rsid w:val="003B02BE"/>
    <w:rsid w:val="003B2696"/>
    <w:rsid w:val="003E5366"/>
    <w:rsid w:val="003F2657"/>
    <w:rsid w:val="00410FFA"/>
    <w:rsid w:val="0043116C"/>
    <w:rsid w:val="00432643"/>
    <w:rsid w:val="00460BBD"/>
    <w:rsid w:val="00472735"/>
    <w:rsid w:val="004906D6"/>
    <w:rsid w:val="004A0F7E"/>
    <w:rsid w:val="004A2260"/>
    <w:rsid w:val="004A5793"/>
    <w:rsid w:val="004B3A85"/>
    <w:rsid w:val="004C310A"/>
    <w:rsid w:val="004D41D4"/>
    <w:rsid w:val="004D61A3"/>
    <w:rsid w:val="004D7D37"/>
    <w:rsid w:val="004E0E0E"/>
    <w:rsid w:val="004E1B8C"/>
    <w:rsid w:val="004E5EBD"/>
    <w:rsid w:val="00503F09"/>
    <w:rsid w:val="00504072"/>
    <w:rsid w:val="0050635C"/>
    <w:rsid w:val="00545F08"/>
    <w:rsid w:val="0055671B"/>
    <w:rsid w:val="005658CB"/>
    <w:rsid w:val="00572005"/>
    <w:rsid w:val="00581673"/>
    <w:rsid w:val="00581934"/>
    <w:rsid w:val="005A62A5"/>
    <w:rsid w:val="005E07D9"/>
    <w:rsid w:val="005F2C80"/>
    <w:rsid w:val="00600107"/>
    <w:rsid w:val="00603B23"/>
    <w:rsid w:val="00605C40"/>
    <w:rsid w:val="00610A92"/>
    <w:rsid w:val="00613C02"/>
    <w:rsid w:val="00625E28"/>
    <w:rsid w:val="00650EE3"/>
    <w:rsid w:val="00667810"/>
    <w:rsid w:val="00673975"/>
    <w:rsid w:val="00673C29"/>
    <w:rsid w:val="00687CE9"/>
    <w:rsid w:val="006A115B"/>
    <w:rsid w:val="006A2F40"/>
    <w:rsid w:val="006B0C2E"/>
    <w:rsid w:val="006B3D58"/>
    <w:rsid w:val="006C03BE"/>
    <w:rsid w:val="006C5C2F"/>
    <w:rsid w:val="006D0E04"/>
    <w:rsid w:val="006E2E6F"/>
    <w:rsid w:val="00703660"/>
    <w:rsid w:val="007228BF"/>
    <w:rsid w:val="007277E6"/>
    <w:rsid w:val="007337F1"/>
    <w:rsid w:val="00742AC7"/>
    <w:rsid w:val="007527CA"/>
    <w:rsid w:val="007721C7"/>
    <w:rsid w:val="00777E00"/>
    <w:rsid w:val="007802FF"/>
    <w:rsid w:val="007A260A"/>
    <w:rsid w:val="007C3B28"/>
    <w:rsid w:val="007C6BA1"/>
    <w:rsid w:val="007D03E2"/>
    <w:rsid w:val="007D7AD3"/>
    <w:rsid w:val="007E3B7C"/>
    <w:rsid w:val="007F2C7F"/>
    <w:rsid w:val="00803E70"/>
    <w:rsid w:val="008106EB"/>
    <w:rsid w:val="0081592E"/>
    <w:rsid w:val="008169E7"/>
    <w:rsid w:val="00825F91"/>
    <w:rsid w:val="00826FBA"/>
    <w:rsid w:val="0083388E"/>
    <w:rsid w:val="00847E54"/>
    <w:rsid w:val="0085412F"/>
    <w:rsid w:val="008560A8"/>
    <w:rsid w:val="008632A8"/>
    <w:rsid w:val="0086543A"/>
    <w:rsid w:val="0087018D"/>
    <w:rsid w:val="008714F8"/>
    <w:rsid w:val="00875E43"/>
    <w:rsid w:val="00875F3F"/>
    <w:rsid w:val="008809A1"/>
    <w:rsid w:val="008833DC"/>
    <w:rsid w:val="00893A80"/>
    <w:rsid w:val="008C0EFC"/>
    <w:rsid w:val="008D59ED"/>
    <w:rsid w:val="008E6287"/>
    <w:rsid w:val="008F094B"/>
    <w:rsid w:val="008F6436"/>
    <w:rsid w:val="00903C9E"/>
    <w:rsid w:val="009215CC"/>
    <w:rsid w:val="00926876"/>
    <w:rsid w:val="00977D54"/>
    <w:rsid w:val="009B3F98"/>
    <w:rsid w:val="009C030B"/>
    <w:rsid w:val="00A22B45"/>
    <w:rsid w:val="00A33224"/>
    <w:rsid w:val="00A35229"/>
    <w:rsid w:val="00A37DCC"/>
    <w:rsid w:val="00A42888"/>
    <w:rsid w:val="00A65B04"/>
    <w:rsid w:val="00A87D2A"/>
    <w:rsid w:val="00A93A4E"/>
    <w:rsid w:val="00A9482C"/>
    <w:rsid w:val="00AA0E4F"/>
    <w:rsid w:val="00AB021B"/>
    <w:rsid w:val="00AB1CE3"/>
    <w:rsid w:val="00AB1FDD"/>
    <w:rsid w:val="00AB2490"/>
    <w:rsid w:val="00AC03B1"/>
    <w:rsid w:val="00AC354D"/>
    <w:rsid w:val="00AC60FD"/>
    <w:rsid w:val="00AD2A91"/>
    <w:rsid w:val="00AE1CB7"/>
    <w:rsid w:val="00AE486E"/>
    <w:rsid w:val="00AF4B64"/>
    <w:rsid w:val="00AF55A8"/>
    <w:rsid w:val="00B04296"/>
    <w:rsid w:val="00B042FF"/>
    <w:rsid w:val="00B25C81"/>
    <w:rsid w:val="00B40D89"/>
    <w:rsid w:val="00B511FB"/>
    <w:rsid w:val="00B55EA5"/>
    <w:rsid w:val="00B643D4"/>
    <w:rsid w:val="00B6578A"/>
    <w:rsid w:val="00B7651E"/>
    <w:rsid w:val="00B82673"/>
    <w:rsid w:val="00B9771C"/>
    <w:rsid w:val="00B9777A"/>
    <w:rsid w:val="00BA571D"/>
    <w:rsid w:val="00BC2CA1"/>
    <w:rsid w:val="00BD20F5"/>
    <w:rsid w:val="00BE16A8"/>
    <w:rsid w:val="00BE2E1F"/>
    <w:rsid w:val="00BE45D1"/>
    <w:rsid w:val="00BE488D"/>
    <w:rsid w:val="00C21A94"/>
    <w:rsid w:val="00C26C0A"/>
    <w:rsid w:val="00C33BAB"/>
    <w:rsid w:val="00C61013"/>
    <w:rsid w:val="00C6150A"/>
    <w:rsid w:val="00C62807"/>
    <w:rsid w:val="00C74807"/>
    <w:rsid w:val="00CA0B04"/>
    <w:rsid w:val="00CA1FF5"/>
    <w:rsid w:val="00CC411A"/>
    <w:rsid w:val="00CD2C7F"/>
    <w:rsid w:val="00CE0A9C"/>
    <w:rsid w:val="00CF38EE"/>
    <w:rsid w:val="00D028E6"/>
    <w:rsid w:val="00D04478"/>
    <w:rsid w:val="00D0556F"/>
    <w:rsid w:val="00D11B35"/>
    <w:rsid w:val="00D203A7"/>
    <w:rsid w:val="00D247D4"/>
    <w:rsid w:val="00D35D69"/>
    <w:rsid w:val="00D36696"/>
    <w:rsid w:val="00D45783"/>
    <w:rsid w:val="00D46552"/>
    <w:rsid w:val="00D62BCE"/>
    <w:rsid w:val="00D6515F"/>
    <w:rsid w:val="00D75958"/>
    <w:rsid w:val="00D8611F"/>
    <w:rsid w:val="00D96760"/>
    <w:rsid w:val="00DA5355"/>
    <w:rsid w:val="00DA70A8"/>
    <w:rsid w:val="00DB2AC6"/>
    <w:rsid w:val="00DB57E0"/>
    <w:rsid w:val="00DF5595"/>
    <w:rsid w:val="00E37C31"/>
    <w:rsid w:val="00E420A3"/>
    <w:rsid w:val="00E6404A"/>
    <w:rsid w:val="00E678E6"/>
    <w:rsid w:val="00E800C7"/>
    <w:rsid w:val="00E82A85"/>
    <w:rsid w:val="00E87FE2"/>
    <w:rsid w:val="00E92F66"/>
    <w:rsid w:val="00E94D20"/>
    <w:rsid w:val="00EB3863"/>
    <w:rsid w:val="00ED20F7"/>
    <w:rsid w:val="00EE622F"/>
    <w:rsid w:val="00EE62C5"/>
    <w:rsid w:val="00F03F1E"/>
    <w:rsid w:val="00F239D3"/>
    <w:rsid w:val="00F254F2"/>
    <w:rsid w:val="00F33081"/>
    <w:rsid w:val="00F4010E"/>
    <w:rsid w:val="00F62661"/>
    <w:rsid w:val="00F74A43"/>
    <w:rsid w:val="00F91641"/>
    <w:rsid w:val="00F91767"/>
    <w:rsid w:val="00F97E5F"/>
    <w:rsid w:val="00FA2A75"/>
    <w:rsid w:val="00FA5570"/>
    <w:rsid w:val="00FB21C0"/>
    <w:rsid w:val="00FB7EC7"/>
    <w:rsid w:val="00FC45E4"/>
    <w:rsid w:val="00FC796D"/>
    <w:rsid w:val="00FE28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D50F"/>
  <w15:docId w15:val="{334F91EA-360B-4B4F-8F8A-AA11E3E0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unhideWhenUsed/>
    <w:rsid w:val="00F62661"/>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F62661"/>
    <w:rPr>
      <w:rFonts w:ascii="Calibri" w:hAnsi="Calibri"/>
      <w:szCs w:val="21"/>
    </w:rPr>
  </w:style>
  <w:style w:type="character" w:styleId="Collegamentoipertestuale">
    <w:name w:val="Hyperlink"/>
    <w:basedOn w:val="Carpredefinitoparagrafo"/>
    <w:uiPriority w:val="99"/>
    <w:unhideWhenUsed/>
    <w:rsid w:val="00F62661"/>
    <w:rPr>
      <w:color w:val="0563C1" w:themeColor="hyperlink"/>
      <w:u w:val="single"/>
    </w:rPr>
  </w:style>
  <w:style w:type="paragraph" w:styleId="Paragrafoelenco">
    <w:name w:val="List Paragraph"/>
    <w:basedOn w:val="Normale"/>
    <w:uiPriority w:val="34"/>
    <w:qFormat/>
    <w:rsid w:val="00F62661"/>
    <w:pPr>
      <w:ind w:left="720"/>
      <w:contextualSpacing/>
    </w:pPr>
  </w:style>
  <w:style w:type="paragraph" w:styleId="Intestazione">
    <w:name w:val="header"/>
    <w:basedOn w:val="Normale"/>
    <w:link w:val="IntestazioneCarattere"/>
    <w:uiPriority w:val="99"/>
    <w:unhideWhenUsed/>
    <w:rsid w:val="00F4010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010E"/>
  </w:style>
  <w:style w:type="paragraph" w:styleId="Pidipagina">
    <w:name w:val="footer"/>
    <w:basedOn w:val="Normale"/>
    <w:link w:val="PidipaginaCarattere"/>
    <w:uiPriority w:val="99"/>
    <w:unhideWhenUsed/>
    <w:rsid w:val="00F4010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010E"/>
  </w:style>
  <w:style w:type="paragraph" w:styleId="NormaleWeb">
    <w:name w:val="Normal (Web)"/>
    <w:basedOn w:val="Normale"/>
    <w:uiPriority w:val="99"/>
    <w:unhideWhenUsed/>
    <w:rsid w:val="00DA70A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A70A8"/>
    <w:pPr>
      <w:autoSpaceDE w:val="0"/>
      <w:autoSpaceDN w:val="0"/>
      <w:adjustRightInd w:val="0"/>
      <w:spacing w:after="0" w:line="240" w:lineRule="auto"/>
    </w:pPr>
    <w:rPr>
      <w:rFonts w:ascii="Calibri" w:hAnsi="Calibri" w:cs="Calibri"/>
      <w:color w:val="000000"/>
      <w:sz w:val="24"/>
      <w:szCs w:val="24"/>
    </w:rPr>
  </w:style>
  <w:style w:type="character" w:customStyle="1" w:styleId="Menzionenonrisolta1">
    <w:name w:val="Menzione non risolta1"/>
    <w:basedOn w:val="Carpredefinitoparagrafo"/>
    <w:uiPriority w:val="99"/>
    <w:semiHidden/>
    <w:unhideWhenUsed/>
    <w:rsid w:val="00AE486E"/>
    <w:rPr>
      <w:color w:val="605E5C"/>
      <w:shd w:val="clear" w:color="auto" w:fill="E1DFDD"/>
    </w:rPr>
  </w:style>
  <w:style w:type="character" w:styleId="Rimandocommento">
    <w:name w:val="annotation reference"/>
    <w:basedOn w:val="Carpredefinitoparagrafo"/>
    <w:uiPriority w:val="99"/>
    <w:semiHidden/>
    <w:unhideWhenUsed/>
    <w:rsid w:val="00CA0B04"/>
    <w:rPr>
      <w:sz w:val="16"/>
      <w:szCs w:val="16"/>
    </w:rPr>
  </w:style>
  <w:style w:type="paragraph" w:styleId="Testocommento">
    <w:name w:val="annotation text"/>
    <w:basedOn w:val="Normale"/>
    <w:link w:val="TestocommentoCarattere"/>
    <w:uiPriority w:val="99"/>
    <w:unhideWhenUsed/>
    <w:rsid w:val="00CA0B04"/>
    <w:pPr>
      <w:spacing w:line="240" w:lineRule="auto"/>
    </w:pPr>
    <w:rPr>
      <w:sz w:val="20"/>
      <w:szCs w:val="20"/>
    </w:rPr>
  </w:style>
  <w:style w:type="character" w:customStyle="1" w:styleId="TestocommentoCarattere">
    <w:name w:val="Testo commento Carattere"/>
    <w:basedOn w:val="Carpredefinitoparagrafo"/>
    <w:link w:val="Testocommento"/>
    <w:uiPriority w:val="99"/>
    <w:rsid w:val="00CA0B04"/>
    <w:rPr>
      <w:sz w:val="20"/>
      <w:szCs w:val="20"/>
    </w:rPr>
  </w:style>
  <w:style w:type="paragraph" w:styleId="Soggettocommento">
    <w:name w:val="annotation subject"/>
    <w:basedOn w:val="Testocommento"/>
    <w:next w:val="Testocommento"/>
    <w:link w:val="SoggettocommentoCarattere"/>
    <w:uiPriority w:val="99"/>
    <w:semiHidden/>
    <w:unhideWhenUsed/>
    <w:rsid w:val="00CA0B04"/>
    <w:rPr>
      <w:b/>
      <w:bCs/>
    </w:rPr>
  </w:style>
  <w:style w:type="character" w:customStyle="1" w:styleId="SoggettocommentoCarattere">
    <w:name w:val="Soggetto commento Carattere"/>
    <w:basedOn w:val="TestocommentoCarattere"/>
    <w:link w:val="Soggettocommento"/>
    <w:uiPriority w:val="99"/>
    <w:semiHidden/>
    <w:rsid w:val="00CA0B04"/>
    <w:rPr>
      <w:b/>
      <w:bCs/>
      <w:sz w:val="20"/>
      <w:szCs w:val="20"/>
    </w:rPr>
  </w:style>
  <w:style w:type="character" w:styleId="Collegamentovisitato">
    <w:name w:val="FollowedHyperlink"/>
    <w:basedOn w:val="Carpredefinitoparagrafo"/>
    <w:uiPriority w:val="99"/>
    <w:semiHidden/>
    <w:unhideWhenUsed/>
    <w:rsid w:val="00BE2E1F"/>
    <w:rPr>
      <w:color w:val="954F72" w:themeColor="followedHyperlink"/>
      <w:u w:val="single"/>
    </w:rPr>
  </w:style>
  <w:style w:type="paragraph" w:styleId="Corpotesto">
    <w:name w:val="Body Text"/>
    <w:basedOn w:val="Normale"/>
    <w:link w:val="CorpotestoCarattere"/>
    <w:uiPriority w:val="1"/>
    <w:qFormat/>
    <w:rsid w:val="00605C40"/>
    <w:pPr>
      <w:widowControl w:val="0"/>
      <w:autoSpaceDE w:val="0"/>
      <w:autoSpaceDN w:val="0"/>
      <w:spacing w:after="0" w:line="240" w:lineRule="auto"/>
    </w:pPr>
    <w:rPr>
      <w:rFonts w:ascii="Calibri" w:eastAsia="Calibri" w:hAnsi="Calibri" w:cs="Calibri"/>
      <w:sz w:val="20"/>
      <w:szCs w:val="20"/>
    </w:rPr>
  </w:style>
  <w:style w:type="character" w:customStyle="1" w:styleId="CorpotestoCarattere">
    <w:name w:val="Corpo testo Carattere"/>
    <w:basedOn w:val="Carpredefinitoparagrafo"/>
    <w:link w:val="Corpotesto"/>
    <w:uiPriority w:val="1"/>
    <w:rsid w:val="00605C40"/>
    <w:rPr>
      <w:rFonts w:ascii="Calibri" w:eastAsia="Calibri" w:hAnsi="Calibri" w:cs="Calibri"/>
      <w:sz w:val="20"/>
      <w:szCs w:val="20"/>
    </w:rPr>
  </w:style>
  <w:style w:type="paragraph" w:styleId="Testofumetto">
    <w:name w:val="Balloon Text"/>
    <w:basedOn w:val="Normale"/>
    <w:link w:val="TestofumettoCarattere"/>
    <w:uiPriority w:val="99"/>
    <w:semiHidden/>
    <w:unhideWhenUsed/>
    <w:rsid w:val="002056A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056AF"/>
    <w:rPr>
      <w:rFonts w:ascii="Segoe UI" w:hAnsi="Segoe UI" w:cs="Segoe UI"/>
      <w:sz w:val="18"/>
      <w:szCs w:val="18"/>
    </w:rPr>
  </w:style>
  <w:style w:type="paragraph" w:customStyle="1" w:styleId="Pa3">
    <w:name w:val="Pa3"/>
    <w:basedOn w:val="Default"/>
    <w:next w:val="Default"/>
    <w:uiPriority w:val="99"/>
    <w:rsid w:val="00AB1FDD"/>
    <w:pPr>
      <w:spacing w:line="241" w:lineRule="atLeast"/>
    </w:pPr>
    <w:rPr>
      <w:rFonts w:ascii="DIN Pro Light" w:hAnsi="DIN Pro Light" w:cstheme="minorBidi"/>
      <w:color w:val="auto"/>
    </w:rPr>
  </w:style>
  <w:style w:type="character" w:customStyle="1" w:styleId="A5">
    <w:name w:val="A5"/>
    <w:uiPriority w:val="99"/>
    <w:rsid w:val="00AB1FDD"/>
    <w:rPr>
      <w:rFonts w:cs="DIN Pro Light"/>
      <w:b/>
      <w:bCs/>
      <w:color w:val="000000"/>
      <w:sz w:val="20"/>
      <w:szCs w:val="20"/>
    </w:rPr>
  </w:style>
  <w:style w:type="paragraph" w:customStyle="1" w:styleId="Pa0">
    <w:name w:val="Pa0"/>
    <w:basedOn w:val="Default"/>
    <w:next w:val="Default"/>
    <w:uiPriority w:val="99"/>
    <w:rsid w:val="00AB1FDD"/>
    <w:pPr>
      <w:spacing w:line="241" w:lineRule="atLeast"/>
    </w:pPr>
    <w:rPr>
      <w:rFonts w:ascii="DIN Pro Light" w:hAnsi="DIN Pro Light" w:cstheme="minorBidi"/>
      <w:color w:val="auto"/>
    </w:rPr>
  </w:style>
  <w:style w:type="paragraph" w:customStyle="1" w:styleId="Pa1">
    <w:name w:val="Pa1"/>
    <w:basedOn w:val="Default"/>
    <w:next w:val="Default"/>
    <w:uiPriority w:val="99"/>
    <w:rsid w:val="00AB1FDD"/>
    <w:pPr>
      <w:spacing w:line="241" w:lineRule="atLeast"/>
    </w:pPr>
    <w:rPr>
      <w:rFonts w:ascii="DIN Pro Light" w:hAnsi="DIN Pro Light" w:cstheme="minorBidi"/>
      <w:color w:val="auto"/>
    </w:rPr>
  </w:style>
  <w:style w:type="character" w:styleId="Menzionenonrisolta">
    <w:name w:val="Unresolved Mention"/>
    <w:basedOn w:val="Carpredefinitoparagrafo"/>
    <w:uiPriority w:val="99"/>
    <w:semiHidden/>
    <w:unhideWhenUsed/>
    <w:rsid w:val="008560A8"/>
    <w:rPr>
      <w:color w:val="605E5C"/>
      <w:shd w:val="clear" w:color="auto" w:fill="E1DFDD"/>
    </w:rPr>
  </w:style>
  <w:style w:type="paragraph" w:styleId="Revisione">
    <w:name w:val="Revision"/>
    <w:hidden/>
    <w:uiPriority w:val="99"/>
    <w:semiHidden/>
    <w:rsid w:val="00F254F2"/>
    <w:pPr>
      <w:spacing w:after="0" w:line="240" w:lineRule="auto"/>
    </w:pPr>
  </w:style>
  <w:style w:type="character" w:customStyle="1" w:styleId="A2">
    <w:name w:val="A2"/>
    <w:uiPriority w:val="99"/>
    <w:rsid w:val="005658CB"/>
    <w:rPr>
      <w:rFonts w:cs="DIN Pro Light"/>
      <w:color w:val="000000"/>
      <w:sz w:val="20"/>
      <w:szCs w:val="20"/>
    </w:rPr>
  </w:style>
  <w:style w:type="character" w:customStyle="1" w:styleId="A6">
    <w:name w:val="A6"/>
    <w:uiPriority w:val="99"/>
    <w:rsid w:val="00C21A94"/>
    <w:rPr>
      <w:rFonts w:cs="DIN Pro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883834">
      <w:bodyDiv w:val="1"/>
      <w:marLeft w:val="0"/>
      <w:marRight w:val="0"/>
      <w:marTop w:val="0"/>
      <w:marBottom w:val="0"/>
      <w:divBdr>
        <w:top w:val="none" w:sz="0" w:space="0" w:color="auto"/>
        <w:left w:val="none" w:sz="0" w:space="0" w:color="auto"/>
        <w:bottom w:val="none" w:sz="0" w:space="0" w:color="auto"/>
        <w:right w:val="none" w:sz="0" w:space="0" w:color="auto"/>
      </w:divBdr>
    </w:div>
    <w:div w:id="566035099">
      <w:bodyDiv w:val="1"/>
      <w:marLeft w:val="0"/>
      <w:marRight w:val="0"/>
      <w:marTop w:val="0"/>
      <w:marBottom w:val="0"/>
      <w:divBdr>
        <w:top w:val="none" w:sz="0" w:space="0" w:color="auto"/>
        <w:left w:val="none" w:sz="0" w:space="0" w:color="auto"/>
        <w:bottom w:val="none" w:sz="0" w:space="0" w:color="auto"/>
        <w:right w:val="none" w:sz="0" w:space="0" w:color="auto"/>
      </w:divBdr>
    </w:div>
    <w:div w:id="646251107">
      <w:bodyDiv w:val="1"/>
      <w:marLeft w:val="0"/>
      <w:marRight w:val="0"/>
      <w:marTop w:val="0"/>
      <w:marBottom w:val="0"/>
      <w:divBdr>
        <w:top w:val="none" w:sz="0" w:space="0" w:color="auto"/>
        <w:left w:val="none" w:sz="0" w:space="0" w:color="auto"/>
        <w:bottom w:val="none" w:sz="0" w:space="0" w:color="auto"/>
        <w:right w:val="none" w:sz="0" w:space="0" w:color="auto"/>
      </w:divBdr>
    </w:div>
    <w:div w:id="737173161">
      <w:bodyDiv w:val="1"/>
      <w:marLeft w:val="0"/>
      <w:marRight w:val="0"/>
      <w:marTop w:val="0"/>
      <w:marBottom w:val="0"/>
      <w:divBdr>
        <w:top w:val="none" w:sz="0" w:space="0" w:color="auto"/>
        <w:left w:val="none" w:sz="0" w:space="0" w:color="auto"/>
        <w:bottom w:val="none" w:sz="0" w:space="0" w:color="auto"/>
        <w:right w:val="none" w:sz="0" w:space="0" w:color="auto"/>
      </w:divBdr>
    </w:div>
    <w:div w:id="1096948989">
      <w:bodyDiv w:val="1"/>
      <w:marLeft w:val="0"/>
      <w:marRight w:val="0"/>
      <w:marTop w:val="0"/>
      <w:marBottom w:val="0"/>
      <w:divBdr>
        <w:top w:val="none" w:sz="0" w:space="0" w:color="auto"/>
        <w:left w:val="none" w:sz="0" w:space="0" w:color="auto"/>
        <w:bottom w:val="none" w:sz="0" w:space="0" w:color="auto"/>
        <w:right w:val="none" w:sz="0" w:space="0" w:color="auto"/>
      </w:divBdr>
    </w:div>
    <w:div w:id="1292975341">
      <w:bodyDiv w:val="1"/>
      <w:marLeft w:val="0"/>
      <w:marRight w:val="0"/>
      <w:marTop w:val="0"/>
      <w:marBottom w:val="0"/>
      <w:divBdr>
        <w:top w:val="none" w:sz="0" w:space="0" w:color="auto"/>
        <w:left w:val="none" w:sz="0" w:space="0" w:color="auto"/>
        <w:bottom w:val="none" w:sz="0" w:space="0" w:color="auto"/>
        <w:right w:val="none" w:sz="0" w:space="0" w:color="auto"/>
      </w:divBdr>
    </w:div>
    <w:div w:id="1395667316">
      <w:bodyDiv w:val="1"/>
      <w:marLeft w:val="0"/>
      <w:marRight w:val="0"/>
      <w:marTop w:val="0"/>
      <w:marBottom w:val="0"/>
      <w:divBdr>
        <w:top w:val="none" w:sz="0" w:space="0" w:color="auto"/>
        <w:left w:val="none" w:sz="0" w:space="0" w:color="auto"/>
        <w:bottom w:val="none" w:sz="0" w:space="0" w:color="auto"/>
        <w:right w:val="none" w:sz="0" w:space="0" w:color="auto"/>
      </w:divBdr>
    </w:div>
    <w:div w:id="1545092908">
      <w:bodyDiv w:val="1"/>
      <w:marLeft w:val="0"/>
      <w:marRight w:val="0"/>
      <w:marTop w:val="0"/>
      <w:marBottom w:val="0"/>
      <w:divBdr>
        <w:top w:val="none" w:sz="0" w:space="0" w:color="auto"/>
        <w:left w:val="none" w:sz="0" w:space="0" w:color="auto"/>
        <w:bottom w:val="none" w:sz="0" w:space="0" w:color="auto"/>
        <w:right w:val="none" w:sz="0" w:space="0" w:color="auto"/>
      </w:divBdr>
    </w:div>
    <w:div w:id="1640845012">
      <w:bodyDiv w:val="1"/>
      <w:marLeft w:val="0"/>
      <w:marRight w:val="0"/>
      <w:marTop w:val="0"/>
      <w:marBottom w:val="0"/>
      <w:divBdr>
        <w:top w:val="none" w:sz="0" w:space="0" w:color="auto"/>
        <w:left w:val="none" w:sz="0" w:space="0" w:color="auto"/>
        <w:bottom w:val="none" w:sz="0" w:space="0" w:color="auto"/>
        <w:right w:val="none" w:sz="0" w:space="0" w:color="auto"/>
      </w:divBdr>
    </w:div>
    <w:div w:id="18755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m.ax/Report_annuale_2022_REALESTATEDATAHUB" TargetMode="External"/><Relationship Id="rId13" Type="http://schemas.openxmlformats.org/officeDocument/2006/relationships/hyperlink" Target="http://www.remax.it" TargetMode="External"/><Relationship Id="rId18" Type="http://schemas.openxmlformats.org/officeDocument/2006/relationships/hyperlink" Target="mailto:info@pinkommunication.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em.ax/Report_annuale_2022_REALESTATEDATAHUB" TargetMode="External"/><Relationship Id="rId17" Type="http://schemas.openxmlformats.org/officeDocument/2006/relationships/hyperlink" Target="https://rem.ax/RealEstateDataHub_annuale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m.ax/Report_annuale_2022_REALESTATEDATAHU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4max.i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24max.it" TargetMode="External"/><Relationship Id="rId23" Type="http://schemas.openxmlformats.org/officeDocument/2006/relationships/header" Target="header3.xml"/><Relationship Id="rId10" Type="http://schemas.openxmlformats.org/officeDocument/2006/relationships/hyperlink" Target="http://www.avalonconsulting.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max.it" TargetMode="External"/><Relationship Id="rId14" Type="http://schemas.openxmlformats.org/officeDocument/2006/relationships/hyperlink" Target="http://www.avalonconsulting.it"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B0CBA-2A02-428B-AE05-2298893C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1988</Words>
  <Characters>11334</Characters>
  <Application>Microsoft Office Word</Application>
  <DocSecurity>0</DocSecurity>
  <Lines>94</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33</cp:revision>
  <dcterms:created xsi:type="dcterms:W3CDTF">2022-04-26T13:36:00Z</dcterms:created>
  <dcterms:modified xsi:type="dcterms:W3CDTF">2022-05-12T09:10:00Z</dcterms:modified>
</cp:coreProperties>
</file>