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CA6A9" w14:textId="7C9A35A2" w:rsidR="003913FC" w:rsidRPr="009D5A94" w:rsidRDefault="003913FC" w:rsidP="00234D1D">
      <w:pPr>
        <w:spacing w:after="0" w:line="276" w:lineRule="auto"/>
        <w:jc w:val="center"/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</w:pPr>
      <w:r w:rsidRPr="009D5A94"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  <w:t xml:space="preserve">IN USA LE CASE SI VENDONO A UN PREZZO SUPERIORE </w:t>
      </w:r>
    </w:p>
    <w:p w14:paraId="1C06C7B5" w14:textId="4E8FE393" w:rsidR="00234D1D" w:rsidRPr="004F3B0A" w:rsidRDefault="003913FC" w:rsidP="00234D1D">
      <w:pPr>
        <w:spacing w:after="0" w:line="276" w:lineRule="auto"/>
        <w:jc w:val="center"/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</w:pPr>
      <w:r w:rsidRPr="009D5A94"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  <w:t>ALLA RICHIESTA IN</w:t>
      </w:r>
      <w:r w:rsidR="00B47A7E"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  <w:t>I</w:t>
      </w:r>
      <w:r w:rsidRPr="009D5A94"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  <w:t>ZIALE</w:t>
      </w:r>
    </w:p>
    <w:p w14:paraId="1BCD19C8" w14:textId="58807430" w:rsidR="003913FC" w:rsidRPr="009D5A94" w:rsidRDefault="003913FC" w:rsidP="00234D1D">
      <w:pPr>
        <w:spacing w:after="0" w:line="276" w:lineRule="auto"/>
        <w:jc w:val="center"/>
        <w:rPr>
          <w:rFonts w:asciiTheme="majorHAnsi" w:eastAsia="Times New Roman" w:hAnsiTheme="majorHAnsi" w:cs="Arial"/>
          <w:b/>
          <w:bCs/>
          <w:color w:val="FF0000"/>
          <w:sz w:val="28"/>
          <w:szCs w:val="28"/>
          <w:lang w:eastAsia="it-IT"/>
        </w:rPr>
      </w:pPr>
      <w:r w:rsidRPr="009D5A94">
        <w:rPr>
          <w:rFonts w:asciiTheme="majorHAnsi" w:eastAsia="Times New Roman" w:hAnsiTheme="majorHAnsi" w:cs="Arial"/>
          <w:b/>
          <w:bCs/>
          <w:color w:val="FF0000"/>
          <w:sz w:val="28"/>
          <w:szCs w:val="28"/>
          <w:lang w:eastAsia="it-IT"/>
        </w:rPr>
        <w:t>In media $430.00</w:t>
      </w:r>
      <w:r w:rsidR="00C85FAB">
        <w:rPr>
          <w:rFonts w:asciiTheme="majorHAnsi" w:eastAsia="Times New Roman" w:hAnsiTheme="majorHAnsi" w:cs="Arial"/>
          <w:b/>
          <w:bCs/>
          <w:color w:val="FF0000"/>
          <w:sz w:val="28"/>
          <w:szCs w:val="28"/>
          <w:lang w:eastAsia="it-IT"/>
        </w:rPr>
        <w:t>0</w:t>
      </w:r>
      <w:r w:rsidRPr="009D5A94">
        <w:rPr>
          <w:rFonts w:asciiTheme="majorHAnsi" w:eastAsia="Times New Roman" w:hAnsiTheme="majorHAnsi" w:cs="Arial"/>
          <w:b/>
          <w:bCs/>
          <w:color w:val="FF0000"/>
          <w:sz w:val="28"/>
          <w:szCs w:val="28"/>
          <w:lang w:eastAsia="it-IT"/>
        </w:rPr>
        <w:t xml:space="preserve"> in soli 23 giorni</w:t>
      </w:r>
    </w:p>
    <w:p w14:paraId="40D8ECE2" w14:textId="77777777" w:rsidR="00BE4B7F" w:rsidRPr="00063A9E" w:rsidRDefault="00BE4B7F" w:rsidP="00D914ED">
      <w:pPr>
        <w:spacing w:after="0" w:line="276" w:lineRule="auto"/>
        <w:jc w:val="center"/>
        <w:rPr>
          <w:rFonts w:asciiTheme="majorHAnsi" w:eastAsia="Times New Roman" w:hAnsiTheme="majorHAnsi" w:cs="Arial"/>
        </w:rPr>
      </w:pPr>
    </w:p>
    <w:p w14:paraId="1879538F" w14:textId="06B7632C" w:rsidR="00234D1D" w:rsidRDefault="00CA7D64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>
        <w:rPr>
          <w:rFonts w:asciiTheme="majorHAnsi" w:eastAsia="Times New Roman" w:hAnsiTheme="majorHAnsi" w:cs="Arial"/>
        </w:rPr>
        <w:t>5</w:t>
      </w:r>
      <w:r w:rsidR="00234D1D">
        <w:rPr>
          <w:rFonts w:asciiTheme="majorHAnsi" w:eastAsia="Times New Roman" w:hAnsiTheme="majorHAnsi" w:cs="Arial"/>
        </w:rPr>
        <w:t xml:space="preserve"> luglio</w:t>
      </w:r>
      <w:r w:rsidR="00212B64">
        <w:rPr>
          <w:rFonts w:asciiTheme="majorHAnsi" w:eastAsia="Times New Roman" w:hAnsiTheme="majorHAnsi" w:cs="Arial"/>
        </w:rPr>
        <w:t xml:space="preserve"> 2022: </w:t>
      </w:r>
      <w:r w:rsidR="00B46ADB">
        <w:rPr>
          <w:rFonts w:asciiTheme="majorHAnsi" w:eastAsia="Times New Roman" w:hAnsiTheme="majorHAnsi" w:cs="Arial"/>
        </w:rPr>
        <w:t xml:space="preserve">In USA </w:t>
      </w:r>
      <w:r w:rsidR="00C85FAB">
        <w:rPr>
          <w:rFonts w:asciiTheme="majorHAnsi" w:eastAsia="Times New Roman" w:hAnsiTheme="majorHAnsi" w:cs="Arial"/>
        </w:rPr>
        <w:t xml:space="preserve">nel mese di maggio </w:t>
      </w:r>
      <w:r w:rsidR="00B46ADB">
        <w:rPr>
          <w:rFonts w:asciiTheme="majorHAnsi" w:eastAsia="Times New Roman" w:hAnsiTheme="majorHAnsi" w:cs="Arial"/>
        </w:rPr>
        <w:t>le compravendite immobiliari hanno segnato un incremento del +5,8% rispetto ad aprile, s</w:t>
      </w:r>
      <w:r w:rsidR="00234D1D" w:rsidRPr="00234D1D">
        <w:rPr>
          <w:rFonts w:asciiTheme="majorHAnsi" w:eastAsia="Times New Roman" w:hAnsiTheme="majorHAnsi" w:cs="Arial"/>
        </w:rPr>
        <w:t xml:space="preserve">ebbene </w:t>
      </w:r>
      <w:r w:rsidR="00B46ADB">
        <w:rPr>
          <w:rFonts w:asciiTheme="majorHAnsi" w:eastAsia="Times New Roman" w:hAnsiTheme="majorHAnsi" w:cs="Arial"/>
        </w:rPr>
        <w:t>siano diminuite dell</w:t>
      </w:r>
      <w:r w:rsidR="00B46ADB" w:rsidRPr="00234D1D">
        <w:rPr>
          <w:rFonts w:asciiTheme="majorHAnsi" w:eastAsia="Times New Roman" w:hAnsiTheme="majorHAnsi" w:cs="Arial"/>
        </w:rPr>
        <w:t>'8,5%</w:t>
      </w:r>
      <w:r w:rsidR="00B46ADB">
        <w:rPr>
          <w:rFonts w:asciiTheme="majorHAnsi" w:eastAsia="Times New Roman" w:hAnsiTheme="majorHAnsi" w:cs="Arial"/>
        </w:rPr>
        <w:t xml:space="preserve"> anno su anno. </w:t>
      </w:r>
      <w:r w:rsidR="00234D1D" w:rsidRPr="00234D1D">
        <w:rPr>
          <w:rFonts w:asciiTheme="majorHAnsi" w:eastAsia="Times New Roman" w:hAnsiTheme="majorHAnsi" w:cs="Arial"/>
        </w:rPr>
        <w:t xml:space="preserve">Dopo una lunga parabola discendente, </w:t>
      </w:r>
      <w:r w:rsidR="00234D1D" w:rsidRPr="009D5A94">
        <w:rPr>
          <w:rFonts w:asciiTheme="majorHAnsi" w:eastAsia="Times New Roman" w:hAnsiTheme="majorHAnsi" w:cs="Arial"/>
          <w:b/>
          <w:bCs/>
        </w:rPr>
        <w:t>l'offerta è cresciuta per il secondo mese consecutivo</w:t>
      </w:r>
      <w:r w:rsidR="00234D1D" w:rsidRPr="00234D1D">
        <w:rPr>
          <w:rFonts w:asciiTheme="majorHAnsi" w:eastAsia="Times New Roman" w:hAnsiTheme="majorHAnsi" w:cs="Arial"/>
        </w:rPr>
        <w:t xml:space="preserve">, </w:t>
      </w:r>
      <w:r w:rsidR="004B2E29">
        <w:rPr>
          <w:rFonts w:asciiTheme="majorHAnsi" w:eastAsia="Times New Roman" w:hAnsiTheme="majorHAnsi" w:cs="Arial"/>
        </w:rPr>
        <w:t xml:space="preserve">superando per la prima volta </w:t>
      </w:r>
      <w:r w:rsidR="00234D1D" w:rsidRPr="00234D1D">
        <w:rPr>
          <w:rFonts w:asciiTheme="majorHAnsi" w:eastAsia="Times New Roman" w:hAnsiTheme="majorHAnsi" w:cs="Arial"/>
        </w:rPr>
        <w:t xml:space="preserve">i livelli di un anno fa. </w:t>
      </w:r>
      <w:r w:rsidR="009406C3">
        <w:rPr>
          <w:rFonts w:asciiTheme="majorHAnsi" w:eastAsia="Times New Roman" w:hAnsiTheme="majorHAnsi" w:cs="Arial"/>
        </w:rPr>
        <w:t>N</w:t>
      </w:r>
      <w:r w:rsidR="009406C3" w:rsidRPr="00ED65A8">
        <w:rPr>
          <w:rFonts w:asciiTheme="majorHAnsi" w:eastAsia="Times New Roman" w:hAnsiTheme="majorHAnsi" w:cs="Arial"/>
        </w:rPr>
        <w:t>elle 5</w:t>
      </w:r>
      <w:r w:rsidR="009406C3">
        <w:rPr>
          <w:rFonts w:asciiTheme="majorHAnsi" w:eastAsia="Times New Roman" w:hAnsiTheme="majorHAnsi" w:cs="Arial"/>
        </w:rPr>
        <w:t>1</w:t>
      </w:r>
      <w:r w:rsidR="009406C3" w:rsidRPr="00ED65A8">
        <w:rPr>
          <w:rFonts w:asciiTheme="majorHAnsi" w:eastAsia="Times New Roman" w:hAnsiTheme="majorHAnsi" w:cs="Arial"/>
        </w:rPr>
        <w:t xml:space="preserve"> aree metropolitane prese in esame dal </w:t>
      </w:r>
      <w:r w:rsidR="009406C3" w:rsidRPr="00B47331">
        <w:rPr>
          <w:rFonts w:asciiTheme="majorHAnsi" w:eastAsia="Times New Roman" w:hAnsiTheme="majorHAnsi" w:cs="Arial"/>
          <w:b/>
          <w:bCs/>
        </w:rPr>
        <w:t xml:space="preserve">Report </w:t>
      </w:r>
      <w:hyperlink r:id="rId8" w:history="1">
        <w:r w:rsidR="009406C3" w:rsidRPr="00B47331">
          <w:rPr>
            <w:rStyle w:val="Collegamentoipertestuale"/>
            <w:rFonts w:asciiTheme="majorHAnsi" w:eastAsia="Times New Roman" w:hAnsiTheme="majorHAnsi" w:cs="Arial"/>
            <w:b/>
            <w:bCs/>
          </w:rPr>
          <w:t>RE/MAX</w:t>
        </w:r>
      </w:hyperlink>
      <w:r w:rsidR="009406C3">
        <w:rPr>
          <w:rFonts w:asciiTheme="majorHAnsi" w:eastAsia="Times New Roman" w:hAnsiTheme="majorHAnsi" w:cs="Arial"/>
        </w:rPr>
        <w:t xml:space="preserve">, infatti, </w:t>
      </w:r>
      <w:r w:rsidR="009406C3">
        <w:rPr>
          <w:rFonts w:asciiTheme="majorHAnsi" w:eastAsia="Times New Roman" w:hAnsiTheme="majorHAnsi" w:cs="Arial"/>
        </w:rPr>
        <w:t>m</w:t>
      </w:r>
      <w:r w:rsidR="00234D1D" w:rsidRPr="00234D1D">
        <w:rPr>
          <w:rFonts w:asciiTheme="majorHAnsi" w:eastAsia="Times New Roman" w:hAnsiTheme="majorHAnsi" w:cs="Arial"/>
        </w:rPr>
        <w:t>aggio</w:t>
      </w:r>
      <w:r w:rsidR="009406C3">
        <w:rPr>
          <w:rFonts w:asciiTheme="majorHAnsi" w:eastAsia="Times New Roman" w:hAnsiTheme="majorHAnsi" w:cs="Arial"/>
        </w:rPr>
        <w:t xml:space="preserve"> </w:t>
      </w:r>
      <w:r w:rsidR="00234D1D" w:rsidRPr="00234D1D">
        <w:rPr>
          <w:rFonts w:asciiTheme="majorHAnsi" w:eastAsia="Times New Roman" w:hAnsiTheme="majorHAnsi" w:cs="Arial"/>
        </w:rPr>
        <w:t xml:space="preserve">si è concluso con </w:t>
      </w:r>
      <w:r w:rsidR="004B2E29">
        <w:rPr>
          <w:rFonts w:asciiTheme="majorHAnsi" w:eastAsia="Times New Roman" w:hAnsiTheme="majorHAnsi" w:cs="Arial"/>
        </w:rPr>
        <w:t xml:space="preserve">un incremento del </w:t>
      </w:r>
      <w:r w:rsidR="00234D1D" w:rsidRPr="00234D1D">
        <w:rPr>
          <w:rFonts w:asciiTheme="majorHAnsi" w:eastAsia="Times New Roman" w:hAnsiTheme="majorHAnsi" w:cs="Arial"/>
        </w:rPr>
        <w:t xml:space="preserve">16,3% di case in vendita rispetto ad aprile, e </w:t>
      </w:r>
      <w:r w:rsidR="004B2E29">
        <w:rPr>
          <w:rFonts w:asciiTheme="majorHAnsi" w:eastAsia="Times New Roman" w:hAnsiTheme="majorHAnsi" w:cs="Arial"/>
        </w:rPr>
        <w:t>del</w:t>
      </w:r>
      <w:r w:rsidR="00234D1D" w:rsidRPr="00234D1D">
        <w:rPr>
          <w:rFonts w:asciiTheme="majorHAnsi" w:eastAsia="Times New Roman" w:hAnsiTheme="majorHAnsi" w:cs="Arial"/>
        </w:rPr>
        <w:t xml:space="preserve"> 2,2% rispetto a maggio 2021. L'andamento di vendita media mensile è salito </w:t>
      </w:r>
      <w:bookmarkStart w:id="0" w:name="_GoBack"/>
      <w:bookmarkEnd w:id="0"/>
      <w:r w:rsidR="00234D1D" w:rsidRPr="00234D1D">
        <w:rPr>
          <w:rFonts w:asciiTheme="majorHAnsi" w:eastAsia="Times New Roman" w:hAnsiTheme="majorHAnsi" w:cs="Arial"/>
        </w:rPr>
        <w:t>da 0,8 in aprile a 0,9 in maggio. Un anno fa, l'andamento di vendita media mensile era attestato su 1,0.</w:t>
      </w:r>
    </w:p>
    <w:p w14:paraId="590B9F3F" w14:textId="77777777" w:rsidR="00234D1D" w:rsidRPr="00234D1D" w:rsidRDefault="00234D1D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</w:p>
    <w:p w14:paraId="018759AA" w14:textId="14264372" w:rsidR="00234D1D" w:rsidRDefault="00234D1D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 w:rsidRPr="009D5A94">
        <w:rPr>
          <w:rFonts w:asciiTheme="majorHAnsi" w:eastAsia="Times New Roman" w:hAnsiTheme="majorHAnsi" w:cs="Arial"/>
          <w:b/>
          <w:bCs/>
        </w:rPr>
        <w:t xml:space="preserve">Il prezzo mediano di vendita degli immobili </w:t>
      </w:r>
      <w:r w:rsidR="004B2E29" w:rsidRPr="009D5A94">
        <w:rPr>
          <w:rFonts w:asciiTheme="majorHAnsi" w:eastAsia="Times New Roman" w:hAnsiTheme="majorHAnsi" w:cs="Arial"/>
          <w:b/>
          <w:bCs/>
        </w:rPr>
        <w:t xml:space="preserve">ha raggiunto quota </w:t>
      </w:r>
      <w:r w:rsidRPr="009D5A94">
        <w:rPr>
          <w:rFonts w:asciiTheme="majorHAnsi" w:eastAsia="Times New Roman" w:hAnsiTheme="majorHAnsi" w:cs="Arial"/>
          <w:b/>
          <w:bCs/>
        </w:rPr>
        <w:t>$430.000</w:t>
      </w:r>
      <w:r w:rsidR="004B2E29">
        <w:rPr>
          <w:rFonts w:asciiTheme="majorHAnsi" w:eastAsia="Times New Roman" w:hAnsiTheme="majorHAnsi" w:cs="Arial"/>
        </w:rPr>
        <w:t>,</w:t>
      </w:r>
      <w:r w:rsidR="004B2E29" w:rsidRPr="00234D1D">
        <w:rPr>
          <w:rFonts w:asciiTheme="majorHAnsi" w:eastAsia="Times New Roman" w:hAnsiTheme="majorHAnsi" w:cs="Arial"/>
        </w:rPr>
        <w:t xml:space="preserve"> </w:t>
      </w:r>
      <w:r w:rsidR="004B2E29">
        <w:rPr>
          <w:rFonts w:asciiTheme="majorHAnsi" w:eastAsia="Times New Roman" w:hAnsiTheme="majorHAnsi" w:cs="Arial"/>
        </w:rPr>
        <w:t xml:space="preserve">con una crescita del </w:t>
      </w:r>
      <w:r w:rsidRPr="00234D1D">
        <w:rPr>
          <w:rFonts w:asciiTheme="majorHAnsi" w:eastAsia="Times New Roman" w:hAnsiTheme="majorHAnsi" w:cs="Arial"/>
        </w:rPr>
        <w:t xml:space="preserve">1,2% rispetto </w:t>
      </w:r>
      <w:r w:rsidR="004B2E29">
        <w:rPr>
          <w:rFonts w:asciiTheme="majorHAnsi" w:eastAsia="Times New Roman" w:hAnsiTheme="majorHAnsi" w:cs="Arial"/>
        </w:rPr>
        <w:t>ad</w:t>
      </w:r>
      <w:r w:rsidRPr="00234D1D">
        <w:rPr>
          <w:rFonts w:asciiTheme="majorHAnsi" w:eastAsia="Times New Roman" w:hAnsiTheme="majorHAnsi" w:cs="Arial"/>
        </w:rPr>
        <w:t xml:space="preserve"> aprile e del 13,2% rispetto </w:t>
      </w:r>
      <w:r w:rsidR="004B2E29">
        <w:rPr>
          <w:rFonts w:asciiTheme="majorHAnsi" w:eastAsia="Times New Roman" w:hAnsiTheme="majorHAnsi" w:cs="Arial"/>
        </w:rPr>
        <w:t>anno su anno</w:t>
      </w:r>
      <w:r w:rsidRPr="00234D1D">
        <w:rPr>
          <w:rFonts w:asciiTheme="majorHAnsi" w:eastAsia="Times New Roman" w:hAnsiTheme="majorHAnsi" w:cs="Arial"/>
        </w:rPr>
        <w:t>. A maggio il rapporto medio fra prezzo di chiusura e prezzo iniziale è stato pari al 103%</w:t>
      </w:r>
      <w:r w:rsidR="00C270A2">
        <w:rPr>
          <w:rFonts w:asciiTheme="majorHAnsi" w:eastAsia="Times New Roman" w:hAnsiTheme="majorHAnsi" w:cs="Arial"/>
        </w:rPr>
        <w:t xml:space="preserve">: ciò significa che in questo mese </w:t>
      </w:r>
      <w:r w:rsidR="00C270A2" w:rsidRPr="009D5A94">
        <w:rPr>
          <w:rFonts w:asciiTheme="majorHAnsi" w:eastAsia="Times New Roman" w:hAnsiTheme="majorHAnsi" w:cs="Arial"/>
          <w:b/>
          <w:bCs/>
        </w:rPr>
        <w:t xml:space="preserve">le </w:t>
      </w:r>
      <w:r w:rsidRPr="009D5A94">
        <w:rPr>
          <w:rFonts w:asciiTheme="majorHAnsi" w:eastAsia="Times New Roman" w:hAnsiTheme="majorHAnsi" w:cs="Arial"/>
          <w:b/>
          <w:bCs/>
        </w:rPr>
        <w:t xml:space="preserve">case </w:t>
      </w:r>
      <w:r w:rsidR="00C270A2" w:rsidRPr="009D5A94">
        <w:rPr>
          <w:rFonts w:asciiTheme="majorHAnsi" w:eastAsia="Times New Roman" w:hAnsiTheme="majorHAnsi" w:cs="Arial"/>
          <w:b/>
          <w:bCs/>
        </w:rPr>
        <w:t xml:space="preserve">sono state </w:t>
      </w:r>
      <w:r w:rsidRPr="009D5A94">
        <w:rPr>
          <w:rFonts w:asciiTheme="majorHAnsi" w:eastAsia="Times New Roman" w:hAnsiTheme="majorHAnsi" w:cs="Arial"/>
          <w:b/>
          <w:bCs/>
        </w:rPr>
        <w:t xml:space="preserve">vendute </w:t>
      </w:r>
      <w:r w:rsidR="00C270A2" w:rsidRPr="009D5A94">
        <w:rPr>
          <w:rFonts w:asciiTheme="majorHAnsi" w:eastAsia="Times New Roman" w:hAnsiTheme="majorHAnsi" w:cs="Arial"/>
          <w:b/>
          <w:bCs/>
        </w:rPr>
        <w:t xml:space="preserve">mediamente </w:t>
      </w:r>
      <w:r w:rsidRPr="009D5A94">
        <w:rPr>
          <w:rFonts w:asciiTheme="majorHAnsi" w:eastAsia="Times New Roman" w:hAnsiTheme="majorHAnsi" w:cs="Arial"/>
          <w:b/>
          <w:bCs/>
        </w:rPr>
        <w:t xml:space="preserve">a un prezzo </w:t>
      </w:r>
      <w:r w:rsidR="00C270A2" w:rsidRPr="009D5A94">
        <w:rPr>
          <w:rFonts w:asciiTheme="majorHAnsi" w:eastAsia="Times New Roman" w:hAnsiTheme="majorHAnsi" w:cs="Arial"/>
          <w:b/>
          <w:bCs/>
        </w:rPr>
        <w:t xml:space="preserve">superiore </w:t>
      </w:r>
      <w:r w:rsidR="009A1A2B" w:rsidRPr="009D5A94">
        <w:rPr>
          <w:rFonts w:asciiTheme="majorHAnsi" w:eastAsia="Times New Roman" w:hAnsiTheme="majorHAnsi" w:cs="Arial"/>
          <w:b/>
          <w:bCs/>
        </w:rPr>
        <w:t xml:space="preserve">del </w:t>
      </w:r>
      <w:r w:rsidRPr="009D5A94">
        <w:rPr>
          <w:rFonts w:asciiTheme="majorHAnsi" w:eastAsia="Times New Roman" w:hAnsiTheme="majorHAnsi" w:cs="Arial"/>
          <w:b/>
          <w:bCs/>
        </w:rPr>
        <w:t>3</w:t>
      </w:r>
      <w:r w:rsidR="009A1A2B" w:rsidRPr="009D5A94">
        <w:rPr>
          <w:rFonts w:asciiTheme="majorHAnsi" w:eastAsia="Times New Roman" w:hAnsiTheme="majorHAnsi" w:cs="Arial"/>
          <w:b/>
          <w:bCs/>
        </w:rPr>
        <w:t xml:space="preserve"> </w:t>
      </w:r>
      <w:r w:rsidRPr="009D5A94">
        <w:rPr>
          <w:rFonts w:asciiTheme="majorHAnsi" w:eastAsia="Times New Roman" w:hAnsiTheme="majorHAnsi" w:cs="Arial"/>
          <w:b/>
          <w:bCs/>
        </w:rPr>
        <w:t xml:space="preserve">% </w:t>
      </w:r>
      <w:r w:rsidR="00C270A2" w:rsidRPr="009D5A94">
        <w:rPr>
          <w:rFonts w:asciiTheme="majorHAnsi" w:eastAsia="Times New Roman" w:hAnsiTheme="majorHAnsi" w:cs="Arial"/>
          <w:b/>
          <w:bCs/>
        </w:rPr>
        <w:t xml:space="preserve">rispetto </w:t>
      </w:r>
      <w:r w:rsidRPr="009D5A94">
        <w:rPr>
          <w:rFonts w:asciiTheme="majorHAnsi" w:eastAsia="Times New Roman" w:hAnsiTheme="majorHAnsi" w:cs="Arial"/>
          <w:b/>
          <w:bCs/>
        </w:rPr>
        <w:t>a quello inizialmente richiesto</w:t>
      </w:r>
      <w:r w:rsidR="00C270A2">
        <w:rPr>
          <w:rFonts w:asciiTheme="majorHAnsi" w:eastAsia="Times New Roman" w:hAnsiTheme="majorHAnsi" w:cs="Arial"/>
        </w:rPr>
        <w:t>.</w:t>
      </w:r>
      <w:r w:rsidR="00C270A2" w:rsidRPr="00234D1D">
        <w:rPr>
          <w:rFonts w:asciiTheme="majorHAnsi" w:eastAsia="Times New Roman" w:hAnsiTheme="majorHAnsi" w:cs="Arial"/>
        </w:rPr>
        <w:t xml:space="preserve"> </w:t>
      </w:r>
    </w:p>
    <w:p w14:paraId="3E5BE650" w14:textId="77777777" w:rsidR="003913FC" w:rsidRPr="00234D1D" w:rsidRDefault="003913FC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</w:p>
    <w:p w14:paraId="40877186" w14:textId="26FAC7FC" w:rsidR="00234D1D" w:rsidRPr="00234D1D" w:rsidRDefault="003913FC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 w:rsidRPr="00063A9E">
        <w:rPr>
          <w:noProof/>
        </w:rPr>
        <w:drawing>
          <wp:anchor distT="0" distB="0" distL="114300" distR="114300" simplePos="0" relativeHeight="251659264" behindDoc="1" locked="0" layoutInCell="1" allowOverlap="1" wp14:anchorId="7D5FD3D7" wp14:editId="04C5645E">
            <wp:simplePos x="0" y="0"/>
            <wp:positionH relativeFrom="margin">
              <wp:posOffset>4950460</wp:posOffset>
            </wp:positionH>
            <wp:positionV relativeFrom="paragraph">
              <wp:posOffset>343230</wp:posOffset>
            </wp:positionV>
            <wp:extent cx="1170000" cy="1339200"/>
            <wp:effectExtent l="0" t="0" r="0" b="0"/>
            <wp:wrapTight wrapText="bothSides">
              <wp:wrapPolygon edited="0">
                <wp:start x="0" y="0"/>
                <wp:lineTo x="0" y="21211"/>
                <wp:lineTo x="21107" y="21211"/>
                <wp:lineTo x="21107" y="0"/>
                <wp:lineTo x="0" y="0"/>
              </wp:wrapPolygon>
            </wp:wrapTight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000" cy="13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D1D" w:rsidRPr="00234D1D">
        <w:rPr>
          <w:rFonts w:asciiTheme="majorHAnsi" w:eastAsia="Times New Roman" w:hAnsiTheme="majorHAnsi" w:cs="Arial"/>
        </w:rPr>
        <w:t xml:space="preserve">A maggio, le case hanno avuto una </w:t>
      </w:r>
      <w:r w:rsidR="00234D1D" w:rsidRPr="009D5A94">
        <w:rPr>
          <w:rFonts w:asciiTheme="majorHAnsi" w:eastAsia="Times New Roman" w:hAnsiTheme="majorHAnsi" w:cs="Arial"/>
          <w:b/>
          <w:bCs/>
        </w:rPr>
        <w:t xml:space="preserve">permanenza media </w:t>
      </w:r>
      <w:r w:rsidR="00C270A2" w:rsidRPr="009D5A94">
        <w:rPr>
          <w:rFonts w:asciiTheme="majorHAnsi" w:eastAsia="Times New Roman" w:hAnsiTheme="majorHAnsi" w:cs="Arial"/>
          <w:b/>
          <w:bCs/>
        </w:rPr>
        <w:t xml:space="preserve">sul mercato </w:t>
      </w:r>
      <w:r w:rsidR="00234D1D" w:rsidRPr="009D5A94">
        <w:rPr>
          <w:rFonts w:asciiTheme="majorHAnsi" w:eastAsia="Times New Roman" w:hAnsiTheme="majorHAnsi" w:cs="Arial"/>
          <w:b/>
          <w:bCs/>
        </w:rPr>
        <w:t>di 23 giorni</w:t>
      </w:r>
      <w:r w:rsidR="00C270A2">
        <w:rPr>
          <w:rFonts w:asciiTheme="majorHAnsi" w:eastAsia="Times New Roman" w:hAnsiTheme="majorHAnsi" w:cs="Arial"/>
        </w:rPr>
        <w:t>,</w:t>
      </w:r>
      <w:r w:rsidR="00234D1D" w:rsidRPr="00234D1D">
        <w:rPr>
          <w:rFonts w:asciiTheme="majorHAnsi" w:eastAsia="Times New Roman" w:hAnsiTheme="majorHAnsi" w:cs="Arial"/>
        </w:rPr>
        <w:t xml:space="preserve"> tre in meno </w:t>
      </w:r>
      <w:r w:rsidR="00C270A2">
        <w:rPr>
          <w:rFonts w:asciiTheme="majorHAnsi" w:eastAsia="Times New Roman" w:hAnsiTheme="majorHAnsi" w:cs="Arial"/>
        </w:rPr>
        <w:t>rispetto ad</w:t>
      </w:r>
      <w:r w:rsidR="00C270A2" w:rsidRPr="00234D1D">
        <w:rPr>
          <w:rFonts w:asciiTheme="majorHAnsi" w:eastAsia="Times New Roman" w:hAnsiTheme="majorHAnsi" w:cs="Arial"/>
        </w:rPr>
        <w:t xml:space="preserve"> </w:t>
      </w:r>
      <w:r w:rsidR="00234D1D" w:rsidRPr="00234D1D">
        <w:rPr>
          <w:rFonts w:asciiTheme="majorHAnsi" w:eastAsia="Times New Roman" w:hAnsiTheme="majorHAnsi" w:cs="Arial"/>
        </w:rPr>
        <w:t xml:space="preserve">aprile e due in meno </w:t>
      </w:r>
      <w:r w:rsidR="00C270A2">
        <w:rPr>
          <w:rFonts w:asciiTheme="majorHAnsi" w:eastAsia="Times New Roman" w:hAnsiTheme="majorHAnsi" w:cs="Arial"/>
        </w:rPr>
        <w:t>anno su anno</w:t>
      </w:r>
      <w:r w:rsidR="00234D1D" w:rsidRPr="00234D1D">
        <w:rPr>
          <w:rFonts w:asciiTheme="majorHAnsi" w:eastAsia="Times New Roman" w:hAnsiTheme="majorHAnsi" w:cs="Arial"/>
        </w:rPr>
        <w:t>.</w:t>
      </w:r>
    </w:p>
    <w:p w14:paraId="5A9275C6" w14:textId="07932EDB" w:rsidR="008D1DCB" w:rsidRPr="00D914ED" w:rsidRDefault="008D1DCB" w:rsidP="00ED65A8">
      <w:pPr>
        <w:spacing w:after="0" w:line="276" w:lineRule="auto"/>
        <w:jc w:val="both"/>
        <w:rPr>
          <w:rFonts w:asciiTheme="majorHAnsi" w:eastAsia="Times New Roman" w:hAnsiTheme="majorHAnsi" w:cs="Arial"/>
        </w:rPr>
      </w:pPr>
    </w:p>
    <w:p w14:paraId="747058C5" w14:textId="1260CBCB" w:rsidR="00234D1D" w:rsidRPr="00234D1D" w:rsidRDefault="00234D1D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 w:rsidRPr="00234D1D">
        <w:rPr>
          <w:rFonts w:asciiTheme="majorHAnsi" w:eastAsia="Times New Roman" w:hAnsiTheme="majorHAnsi" w:cs="Arial"/>
        </w:rPr>
        <w:t>“</w:t>
      </w:r>
      <w:r w:rsidR="00F769BE" w:rsidRPr="009D5A94">
        <w:rPr>
          <w:rFonts w:asciiTheme="majorHAnsi" w:eastAsia="Times New Roman" w:hAnsiTheme="majorHAnsi" w:cs="Arial"/>
          <w:i/>
          <w:iCs/>
        </w:rPr>
        <w:t xml:space="preserve">Il </w:t>
      </w:r>
      <w:r w:rsidRPr="009D5A94">
        <w:rPr>
          <w:rFonts w:asciiTheme="majorHAnsi" w:eastAsia="Times New Roman" w:hAnsiTheme="majorHAnsi" w:cs="Arial"/>
          <w:i/>
          <w:iCs/>
        </w:rPr>
        <w:t>calo nelle vendite non giunge totalmente inaspettato</w:t>
      </w:r>
      <w:r w:rsidR="00F769BE" w:rsidRPr="009D5A94">
        <w:rPr>
          <w:rFonts w:asciiTheme="majorHAnsi" w:eastAsia="Times New Roman" w:hAnsiTheme="majorHAnsi" w:cs="Arial"/>
          <w:i/>
          <w:iCs/>
        </w:rPr>
        <w:t xml:space="preserve">, soprattutto se si considera il </w:t>
      </w:r>
      <w:r w:rsidRPr="009D5A94">
        <w:rPr>
          <w:rFonts w:asciiTheme="majorHAnsi" w:eastAsia="Times New Roman" w:hAnsiTheme="majorHAnsi" w:cs="Arial"/>
          <w:i/>
          <w:iCs/>
        </w:rPr>
        <w:t xml:space="preserve">generalizzato </w:t>
      </w:r>
      <w:r w:rsidR="00F769BE" w:rsidRPr="009D5A94">
        <w:rPr>
          <w:rFonts w:asciiTheme="majorHAnsi" w:eastAsia="Times New Roman" w:hAnsiTheme="majorHAnsi" w:cs="Arial"/>
          <w:i/>
          <w:iCs/>
        </w:rPr>
        <w:t xml:space="preserve">rialzo </w:t>
      </w:r>
      <w:r w:rsidRPr="009D5A94">
        <w:rPr>
          <w:rFonts w:asciiTheme="majorHAnsi" w:eastAsia="Times New Roman" w:hAnsiTheme="majorHAnsi" w:cs="Arial"/>
          <w:i/>
          <w:iCs/>
        </w:rPr>
        <w:t xml:space="preserve">dei tassi </w:t>
      </w:r>
      <w:r w:rsidR="00D95DF3" w:rsidRPr="009D5A94">
        <w:rPr>
          <w:rFonts w:asciiTheme="majorHAnsi" w:eastAsia="Times New Roman" w:hAnsiTheme="majorHAnsi" w:cs="Arial"/>
          <w:i/>
          <w:iCs/>
        </w:rPr>
        <w:t xml:space="preserve">di interesse. </w:t>
      </w:r>
      <w:r w:rsidR="009A1A2B" w:rsidRPr="009D5A94">
        <w:rPr>
          <w:rFonts w:asciiTheme="majorHAnsi" w:eastAsia="Times New Roman" w:hAnsiTheme="majorHAnsi" w:cs="Arial"/>
          <w:i/>
          <w:iCs/>
        </w:rPr>
        <w:t>L’incremento</w:t>
      </w:r>
      <w:r w:rsidRPr="009D5A94">
        <w:rPr>
          <w:rFonts w:asciiTheme="majorHAnsi" w:eastAsia="Times New Roman" w:hAnsiTheme="majorHAnsi" w:cs="Arial"/>
          <w:i/>
          <w:iCs/>
        </w:rPr>
        <w:t xml:space="preserve"> dell'offerta è </w:t>
      </w:r>
      <w:r w:rsidR="009A1A2B" w:rsidRPr="009D5A94">
        <w:rPr>
          <w:rFonts w:asciiTheme="majorHAnsi" w:eastAsia="Times New Roman" w:hAnsiTheme="majorHAnsi" w:cs="Arial"/>
          <w:i/>
          <w:iCs/>
        </w:rPr>
        <w:t xml:space="preserve">sicuramente </w:t>
      </w:r>
      <w:r w:rsidRPr="009D5A94">
        <w:rPr>
          <w:rFonts w:asciiTheme="majorHAnsi" w:eastAsia="Times New Roman" w:hAnsiTheme="majorHAnsi" w:cs="Arial"/>
          <w:i/>
          <w:iCs/>
        </w:rPr>
        <w:t>un dato confortante per gli acquirenti che ora vedono più immobili affacciarsi sul mercato,</w:t>
      </w:r>
      <w:r w:rsidRPr="00234D1D">
        <w:rPr>
          <w:rFonts w:asciiTheme="majorHAnsi" w:eastAsia="Times New Roman" w:hAnsiTheme="majorHAnsi" w:cs="Arial"/>
        </w:rPr>
        <w:t xml:space="preserve">” ha dichiarato </w:t>
      </w:r>
      <w:r w:rsidRPr="009D5A94">
        <w:rPr>
          <w:rFonts w:asciiTheme="majorHAnsi" w:eastAsia="Times New Roman" w:hAnsiTheme="majorHAnsi" w:cs="Arial"/>
          <w:b/>
          <w:bCs/>
        </w:rPr>
        <w:t xml:space="preserve">Nick Bailey, </w:t>
      </w:r>
      <w:proofErr w:type="spellStart"/>
      <w:r w:rsidRPr="009D5A94">
        <w:rPr>
          <w:rFonts w:asciiTheme="majorHAnsi" w:eastAsia="Times New Roman" w:hAnsiTheme="majorHAnsi" w:cs="Arial"/>
          <w:b/>
          <w:bCs/>
        </w:rPr>
        <w:t>President</w:t>
      </w:r>
      <w:proofErr w:type="spellEnd"/>
      <w:r w:rsidRPr="009D5A94">
        <w:rPr>
          <w:rFonts w:asciiTheme="majorHAnsi" w:eastAsia="Times New Roman" w:hAnsiTheme="majorHAnsi" w:cs="Arial"/>
          <w:b/>
          <w:bCs/>
        </w:rPr>
        <w:t xml:space="preserve"> e CEO</w:t>
      </w:r>
      <w:r w:rsidR="00B47A7E">
        <w:rPr>
          <w:rFonts w:asciiTheme="majorHAnsi" w:eastAsia="Times New Roman" w:hAnsiTheme="majorHAnsi" w:cs="Arial"/>
          <w:b/>
          <w:bCs/>
        </w:rPr>
        <w:t xml:space="preserve"> </w:t>
      </w:r>
      <w:r w:rsidR="00630C59">
        <w:rPr>
          <w:rFonts w:asciiTheme="majorHAnsi" w:eastAsia="Times New Roman" w:hAnsiTheme="majorHAnsi" w:cs="Arial"/>
          <w:b/>
          <w:bCs/>
        </w:rPr>
        <w:t xml:space="preserve">di </w:t>
      </w:r>
      <w:r w:rsidR="00B47A7E" w:rsidRPr="00B47A7E">
        <w:rPr>
          <w:rFonts w:asciiTheme="majorHAnsi" w:hAnsiTheme="majorHAnsi"/>
          <w:b/>
          <w:bCs/>
          <w:noProof/>
        </w:rPr>
        <w:t>RE/MAX, LLC</w:t>
      </w:r>
      <w:r w:rsidRPr="00B47A7E">
        <w:rPr>
          <w:rFonts w:asciiTheme="majorHAnsi" w:eastAsia="Times New Roman" w:hAnsiTheme="majorHAnsi" w:cs="Arial"/>
          <w:b/>
          <w:bCs/>
        </w:rPr>
        <w:t>.</w:t>
      </w:r>
      <w:r w:rsidRPr="00234D1D">
        <w:rPr>
          <w:rFonts w:asciiTheme="majorHAnsi" w:eastAsia="Times New Roman" w:hAnsiTheme="majorHAnsi" w:cs="Arial"/>
        </w:rPr>
        <w:t xml:space="preserve"> “</w:t>
      </w:r>
      <w:r w:rsidR="009A1A2B" w:rsidRPr="009D5A94">
        <w:rPr>
          <w:rFonts w:asciiTheme="majorHAnsi" w:eastAsia="Times New Roman" w:hAnsiTheme="majorHAnsi" w:cs="Arial"/>
          <w:i/>
          <w:iCs/>
        </w:rPr>
        <w:t xml:space="preserve">Tra le novità, il ritorno sul mercato di </w:t>
      </w:r>
      <w:r w:rsidRPr="009D5A94">
        <w:rPr>
          <w:rFonts w:asciiTheme="majorHAnsi" w:eastAsia="Times New Roman" w:hAnsiTheme="majorHAnsi" w:cs="Arial"/>
          <w:i/>
          <w:iCs/>
        </w:rPr>
        <w:t xml:space="preserve">case </w:t>
      </w:r>
      <w:proofErr w:type="spellStart"/>
      <w:r w:rsidRPr="009D5A94">
        <w:rPr>
          <w:rFonts w:asciiTheme="majorHAnsi" w:eastAsia="Times New Roman" w:hAnsiTheme="majorHAnsi" w:cs="Arial"/>
          <w:i/>
          <w:iCs/>
        </w:rPr>
        <w:t>pluri</w:t>
      </w:r>
      <w:proofErr w:type="spellEnd"/>
      <w:r w:rsidRPr="009D5A94">
        <w:rPr>
          <w:rFonts w:asciiTheme="majorHAnsi" w:eastAsia="Times New Roman" w:hAnsiTheme="majorHAnsi" w:cs="Arial"/>
          <w:i/>
          <w:iCs/>
        </w:rPr>
        <w:t xml:space="preserve"> e unifamiliari che </w:t>
      </w:r>
      <w:r w:rsidR="009A1A2B" w:rsidRPr="009D5A94">
        <w:rPr>
          <w:rFonts w:asciiTheme="majorHAnsi" w:eastAsia="Times New Roman" w:hAnsiTheme="majorHAnsi" w:cs="Arial"/>
          <w:i/>
          <w:iCs/>
        </w:rPr>
        <w:t>per</w:t>
      </w:r>
      <w:r w:rsidRPr="009D5A94">
        <w:rPr>
          <w:rFonts w:asciiTheme="majorHAnsi" w:eastAsia="Times New Roman" w:hAnsiTheme="majorHAnsi" w:cs="Arial"/>
          <w:i/>
          <w:iCs/>
        </w:rPr>
        <w:t xml:space="preserve"> mesi non </w:t>
      </w:r>
      <w:r w:rsidR="009A1A2B" w:rsidRPr="009D5A94">
        <w:rPr>
          <w:rFonts w:asciiTheme="majorHAnsi" w:eastAsia="Times New Roman" w:hAnsiTheme="majorHAnsi" w:cs="Arial"/>
          <w:i/>
          <w:iCs/>
        </w:rPr>
        <w:t>sono state disponibili</w:t>
      </w:r>
      <w:r w:rsidRPr="00234D1D">
        <w:rPr>
          <w:rFonts w:asciiTheme="majorHAnsi" w:eastAsia="Times New Roman" w:hAnsiTheme="majorHAnsi" w:cs="Arial"/>
        </w:rPr>
        <w:t>”</w:t>
      </w:r>
      <w:r w:rsidR="009A1A2B">
        <w:rPr>
          <w:rFonts w:asciiTheme="majorHAnsi" w:eastAsia="Times New Roman" w:hAnsiTheme="majorHAnsi" w:cs="Arial"/>
        </w:rPr>
        <w:t>.</w:t>
      </w:r>
    </w:p>
    <w:p w14:paraId="7B1B3967" w14:textId="77777777" w:rsidR="003913FC" w:rsidRDefault="003913FC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</w:p>
    <w:p w14:paraId="27B9212D" w14:textId="37169D24" w:rsidR="00ED65A8" w:rsidRPr="00ED65A8" w:rsidRDefault="009A1A2B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>
        <w:rPr>
          <w:rFonts w:asciiTheme="majorHAnsi" w:eastAsia="Times New Roman" w:hAnsiTheme="majorHAnsi" w:cs="Arial"/>
        </w:rPr>
        <w:t xml:space="preserve">Ottimistiche le previsioni di </w:t>
      </w:r>
      <w:r w:rsidR="00234D1D" w:rsidRPr="009D5A94">
        <w:rPr>
          <w:rFonts w:asciiTheme="majorHAnsi" w:eastAsia="Times New Roman" w:hAnsiTheme="majorHAnsi" w:cs="Arial"/>
          <w:b/>
          <w:bCs/>
        </w:rPr>
        <w:t xml:space="preserve">Tim </w:t>
      </w:r>
      <w:proofErr w:type="spellStart"/>
      <w:r w:rsidR="00234D1D" w:rsidRPr="009D5A94">
        <w:rPr>
          <w:rFonts w:asciiTheme="majorHAnsi" w:eastAsia="Times New Roman" w:hAnsiTheme="majorHAnsi" w:cs="Arial"/>
          <w:b/>
          <w:bCs/>
        </w:rPr>
        <w:t>Yee</w:t>
      </w:r>
      <w:proofErr w:type="spellEnd"/>
      <w:r w:rsidR="00234D1D" w:rsidRPr="009D5A94">
        <w:rPr>
          <w:rFonts w:asciiTheme="majorHAnsi" w:eastAsia="Times New Roman" w:hAnsiTheme="majorHAnsi" w:cs="Arial"/>
          <w:b/>
          <w:bCs/>
        </w:rPr>
        <w:t xml:space="preserve">, </w:t>
      </w:r>
      <w:proofErr w:type="spellStart"/>
      <w:r w:rsidR="00234D1D" w:rsidRPr="009D5A94">
        <w:rPr>
          <w:rFonts w:asciiTheme="majorHAnsi" w:eastAsia="Times New Roman" w:hAnsiTheme="majorHAnsi" w:cs="Arial"/>
          <w:b/>
          <w:bCs/>
        </w:rPr>
        <w:t>President</w:t>
      </w:r>
      <w:proofErr w:type="spellEnd"/>
      <w:r w:rsidR="00234D1D" w:rsidRPr="009D5A94">
        <w:rPr>
          <w:rFonts w:asciiTheme="majorHAnsi" w:eastAsia="Times New Roman" w:hAnsiTheme="majorHAnsi" w:cs="Arial"/>
          <w:b/>
          <w:bCs/>
        </w:rPr>
        <w:t xml:space="preserve"> e Broker di RE/MAX Gold nella </w:t>
      </w:r>
      <w:proofErr w:type="spellStart"/>
      <w:r w:rsidR="00234D1D" w:rsidRPr="009D5A94">
        <w:rPr>
          <w:rFonts w:asciiTheme="majorHAnsi" w:eastAsia="Times New Roman" w:hAnsiTheme="majorHAnsi" w:cs="Arial"/>
          <w:b/>
          <w:bCs/>
        </w:rPr>
        <w:t>Bay</w:t>
      </w:r>
      <w:proofErr w:type="spellEnd"/>
      <w:r w:rsidR="00234D1D" w:rsidRPr="009D5A94">
        <w:rPr>
          <w:rFonts w:asciiTheme="majorHAnsi" w:eastAsia="Times New Roman" w:hAnsiTheme="majorHAnsi" w:cs="Arial"/>
          <w:b/>
          <w:bCs/>
        </w:rPr>
        <w:t xml:space="preserve"> Area di San Francisco</w:t>
      </w:r>
      <w:r w:rsidR="00234D1D" w:rsidRPr="00234D1D">
        <w:rPr>
          <w:rFonts w:asciiTheme="majorHAnsi" w:eastAsia="Times New Roman" w:hAnsiTheme="majorHAnsi" w:cs="Arial"/>
        </w:rPr>
        <w:t xml:space="preserve">, </w:t>
      </w:r>
      <w:r>
        <w:rPr>
          <w:rFonts w:asciiTheme="majorHAnsi" w:eastAsia="Times New Roman" w:hAnsiTheme="majorHAnsi" w:cs="Arial"/>
        </w:rPr>
        <w:t xml:space="preserve">secondo cui </w:t>
      </w:r>
      <w:r w:rsidR="00234D1D" w:rsidRPr="00234D1D">
        <w:rPr>
          <w:rFonts w:asciiTheme="majorHAnsi" w:eastAsia="Times New Roman" w:hAnsiTheme="majorHAnsi" w:cs="Arial"/>
        </w:rPr>
        <w:t>l'offerta continuerà progressivamente a migliorare.</w:t>
      </w:r>
      <w:r w:rsidR="00234D1D">
        <w:rPr>
          <w:rFonts w:asciiTheme="majorHAnsi" w:eastAsia="Times New Roman" w:hAnsiTheme="majorHAnsi" w:cs="Arial"/>
        </w:rPr>
        <w:t xml:space="preserve"> </w:t>
      </w:r>
      <w:r w:rsidR="00234D1D" w:rsidRPr="00234D1D">
        <w:rPr>
          <w:rFonts w:asciiTheme="majorHAnsi" w:eastAsia="Times New Roman" w:hAnsiTheme="majorHAnsi" w:cs="Arial"/>
        </w:rPr>
        <w:t>“</w:t>
      </w:r>
      <w:r w:rsidR="00234D1D" w:rsidRPr="009D5A94">
        <w:rPr>
          <w:rFonts w:asciiTheme="majorHAnsi" w:eastAsia="Times New Roman" w:hAnsiTheme="majorHAnsi" w:cs="Arial"/>
          <w:i/>
          <w:iCs/>
        </w:rPr>
        <w:t xml:space="preserve">Sembrerebbe che nella </w:t>
      </w:r>
      <w:proofErr w:type="spellStart"/>
      <w:r w:rsidR="00234D1D" w:rsidRPr="009D5A94">
        <w:rPr>
          <w:rFonts w:asciiTheme="majorHAnsi" w:eastAsia="Times New Roman" w:hAnsiTheme="majorHAnsi" w:cs="Arial"/>
          <w:i/>
          <w:iCs/>
        </w:rPr>
        <w:t>Bay</w:t>
      </w:r>
      <w:proofErr w:type="spellEnd"/>
      <w:r w:rsidR="00234D1D" w:rsidRPr="009D5A94">
        <w:rPr>
          <w:rFonts w:asciiTheme="majorHAnsi" w:eastAsia="Times New Roman" w:hAnsiTheme="majorHAnsi" w:cs="Arial"/>
          <w:i/>
          <w:iCs/>
        </w:rPr>
        <w:t xml:space="preserve"> Area sia finalmente arrivato quel </w:t>
      </w:r>
      <w:r w:rsidR="006E5001" w:rsidRPr="009D5A94">
        <w:rPr>
          <w:rFonts w:asciiTheme="majorHAnsi" w:eastAsia="Times New Roman" w:hAnsiTheme="majorHAnsi" w:cs="Arial"/>
          <w:i/>
          <w:iCs/>
        </w:rPr>
        <w:t>cambiamento</w:t>
      </w:r>
      <w:r w:rsidR="00234D1D" w:rsidRPr="009D5A94">
        <w:rPr>
          <w:rFonts w:asciiTheme="majorHAnsi" w:eastAsia="Times New Roman" w:hAnsiTheme="majorHAnsi" w:cs="Arial"/>
          <w:i/>
          <w:iCs/>
        </w:rPr>
        <w:t xml:space="preserve"> del mercato a lungo </w:t>
      </w:r>
      <w:r>
        <w:rPr>
          <w:rFonts w:asciiTheme="majorHAnsi" w:eastAsia="Times New Roman" w:hAnsiTheme="majorHAnsi" w:cs="Arial"/>
          <w:i/>
          <w:iCs/>
        </w:rPr>
        <w:t>atteso</w:t>
      </w:r>
      <w:r w:rsidR="00234D1D" w:rsidRPr="009D5A94">
        <w:rPr>
          <w:rFonts w:asciiTheme="majorHAnsi" w:eastAsia="Times New Roman" w:hAnsiTheme="majorHAnsi" w:cs="Arial"/>
          <w:i/>
          <w:iCs/>
        </w:rPr>
        <w:t>. L'offerta sta iniziando ad aumentare, mentre sembra essersi lievemente attenuata l'escalation esorbitante dei prezzi rilevata negli ultimi anni”</w:t>
      </w:r>
      <w:r w:rsidR="004F3B0A">
        <w:rPr>
          <w:rFonts w:asciiTheme="majorHAnsi" w:eastAsia="Times New Roman" w:hAnsiTheme="majorHAnsi" w:cs="Arial"/>
          <w:i/>
          <w:iCs/>
        </w:rPr>
        <w:t>,</w:t>
      </w:r>
      <w:r w:rsidR="00234D1D" w:rsidRPr="009D5A94">
        <w:rPr>
          <w:rFonts w:asciiTheme="majorHAnsi" w:eastAsia="Times New Roman" w:hAnsiTheme="majorHAnsi" w:cs="Arial"/>
          <w:i/>
          <w:iCs/>
        </w:rPr>
        <w:t xml:space="preserve"> </w:t>
      </w:r>
      <w:r w:rsidR="00234D1D" w:rsidRPr="009D5A94">
        <w:rPr>
          <w:rFonts w:asciiTheme="majorHAnsi" w:eastAsia="Times New Roman" w:hAnsiTheme="majorHAnsi" w:cs="Arial"/>
        </w:rPr>
        <w:t xml:space="preserve">ha aggiunto </w:t>
      </w:r>
      <w:proofErr w:type="spellStart"/>
      <w:r w:rsidR="00234D1D" w:rsidRPr="009D5A94">
        <w:rPr>
          <w:rFonts w:asciiTheme="majorHAnsi" w:eastAsia="Times New Roman" w:hAnsiTheme="majorHAnsi" w:cs="Arial"/>
        </w:rPr>
        <w:t>Yee</w:t>
      </w:r>
      <w:proofErr w:type="spellEnd"/>
      <w:r w:rsidR="00234D1D" w:rsidRPr="009D5A94">
        <w:rPr>
          <w:rFonts w:asciiTheme="majorHAnsi" w:eastAsia="Times New Roman" w:hAnsiTheme="majorHAnsi" w:cs="Arial"/>
        </w:rPr>
        <w:t xml:space="preserve">. </w:t>
      </w:r>
      <w:r w:rsidR="00234D1D" w:rsidRPr="009D5A94">
        <w:rPr>
          <w:rFonts w:asciiTheme="majorHAnsi" w:eastAsia="Times New Roman" w:hAnsiTheme="majorHAnsi" w:cs="Arial"/>
          <w:i/>
          <w:iCs/>
        </w:rPr>
        <w:t>“Non si tratta del cambiamento radicale anticipato da alcuni, bensì del raffreddamento di un mercato finora rovente</w:t>
      </w:r>
      <w:r w:rsidRPr="009D5A94">
        <w:rPr>
          <w:rFonts w:asciiTheme="majorHAnsi" w:eastAsia="Times New Roman" w:hAnsiTheme="majorHAnsi" w:cs="Arial"/>
          <w:i/>
          <w:iCs/>
        </w:rPr>
        <w:t>.</w:t>
      </w:r>
      <w:r>
        <w:rPr>
          <w:rFonts w:asciiTheme="majorHAnsi" w:eastAsia="Times New Roman" w:hAnsiTheme="majorHAnsi" w:cs="Arial"/>
          <w:i/>
          <w:iCs/>
        </w:rPr>
        <w:t xml:space="preserve"> </w:t>
      </w:r>
      <w:r w:rsidR="00234D1D" w:rsidRPr="009D5A94">
        <w:rPr>
          <w:rFonts w:asciiTheme="majorHAnsi" w:eastAsia="Times New Roman" w:hAnsiTheme="majorHAnsi" w:cs="Arial"/>
          <w:i/>
          <w:iCs/>
        </w:rPr>
        <w:t xml:space="preserve">Le unità </w:t>
      </w:r>
      <w:r w:rsidR="006E5001" w:rsidRPr="009D5A94">
        <w:rPr>
          <w:rFonts w:asciiTheme="majorHAnsi" w:eastAsia="Times New Roman" w:hAnsiTheme="majorHAnsi" w:cs="Arial"/>
          <w:i/>
          <w:iCs/>
        </w:rPr>
        <w:t>immobiliari</w:t>
      </w:r>
      <w:r w:rsidR="00234D1D" w:rsidRPr="009D5A94">
        <w:rPr>
          <w:rFonts w:asciiTheme="majorHAnsi" w:eastAsia="Times New Roman" w:hAnsiTheme="majorHAnsi" w:cs="Arial"/>
          <w:i/>
          <w:iCs/>
        </w:rPr>
        <w:t xml:space="preserve"> situate in aree prestigiose sono tuttora oggetto di numerose offerte e vengono ancora vendute a prezzi superiori a quelli richiesti</w:t>
      </w:r>
      <w:r>
        <w:rPr>
          <w:rFonts w:asciiTheme="majorHAnsi" w:eastAsia="Times New Roman" w:hAnsiTheme="majorHAnsi" w:cs="Arial"/>
          <w:i/>
          <w:iCs/>
        </w:rPr>
        <w:t>;</w:t>
      </w:r>
      <w:r w:rsidR="00234D1D" w:rsidRPr="009D5A94">
        <w:rPr>
          <w:rFonts w:asciiTheme="majorHAnsi" w:eastAsia="Times New Roman" w:hAnsiTheme="majorHAnsi" w:cs="Arial"/>
          <w:i/>
          <w:iCs/>
        </w:rPr>
        <w:t xml:space="preserve"> ma la maggior parte dei venditori sta imparando a ridimensionare le proprie aspettative, tanto che in alcune zone assistiamo addirittura a occasionali riduzioni dei prezzi</w:t>
      </w:r>
      <w:r w:rsidR="00234D1D" w:rsidRPr="00234D1D">
        <w:rPr>
          <w:rFonts w:asciiTheme="majorHAnsi" w:eastAsia="Times New Roman" w:hAnsiTheme="majorHAnsi" w:cs="Arial"/>
        </w:rPr>
        <w:t>”</w:t>
      </w:r>
      <w:r w:rsidR="00FC231D">
        <w:rPr>
          <w:rFonts w:asciiTheme="majorHAnsi" w:eastAsia="Times New Roman" w:hAnsiTheme="majorHAnsi" w:cs="Arial"/>
        </w:rPr>
        <w:t>.</w:t>
      </w:r>
    </w:p>
    <w:p w14:paraId="2141ED49" w14:textId="0BE45E58" w:rsidR="006D051A" w:rsidRPr="00F63B60" w:rsidRDefault="006D051A" w:rsidP="006D051A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  <w:b/>
          <w:bCs/>
          <w:color w:val="FF0000"/>
        </w:rPr>
      </w:pPr>
      <w:r w:rsidRPr="00F63B60">
        <w:rPr>
          <w:rFonts w:asciiTheme="majorHAnsi" w:eastAsia="Times New Roman" w:hAnsiTheme="majorHAnsi" w:cs="Arial"/>
          <w:b/>
          <w:bCs/>
          <w:color w:val="FF0000"/>
        </w:rPr>
        <w:t>TRANSAZIONI CONCLUSE</w:t>
      </w:r>
    </w:p>
    <w:p w14:paraId="7EEAD698" w14:textId="79972F43" w:rsidR="00D914ED" w:rsidRDefault="00234D1D" w:rsidP="00D914ED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 w:rsidRPr="00234D1D">
        <w:rPr>
          <w:rFonts w:asciiTheme="majorHAnsi" w:eastAsia="Times New Roman" w:hAnsiTheme="majorHAnsi" w:cs="Arial"/>
        </w:rPr>
        <w:t xml:space="preserve">Nelle 51 aree metropolitane </w:t>
      </w:r>
      <w:r w:rsidR="006E5001">
        <w:rPr>
          <w:rFonts w:asciiTheme="majorHAnsi" w:eastAsia="Times New Roman" w:hAnsiTheme="majorHAnsi" w:cs="Arial"/>
        </w:rPr>
        <w:t>analizzate dal Report</w:t>
      </w:r>
      <w:r w:rsidRPr="00234D1D">
        <w:rPr>
          <w:rFonts w:asciiTheme="majorHAnsi" w:eastAsia="Times New Roman" w:hAnsiTheme="majorHAnsi" w:cs="Arial"/>
        </w:rPr>
        <w:t xml:space="preserve"> RE/MAX</w:t>
      </w:r>
      <w:r w:rsidR="006E5001">
        <w:rPr>
          <w:rFonts w:asciiTheme="majorHAnsi" w:eastAsia="Times New Roman" w:hAnsiTheme="majorHAnsi" w:cs="Arial"/>
        </w:rPr>
        <w:t>,</w:t>
      </w:r>
      <w:r w:rsidRPr="00234D1D">
        <w:rPr>
          <w:rFonts w:asciiTheme="majorHAnsi" w:eastAsia="Times New Roman" w:hAnsiTheme="majorHAnsi" w:cs="Arial"/>
        </w:rPr>
        <w:t xml:space="preserve"> a maggio 2022, il numero totale di immobili venduti è diminuito del 5,8% rispetto ad aprile 2022 e dell'8,5% rispetto a maggio 2021. I mercati con la più grande flessione percentuale nelle vendite anno su anno sono stati: Los Angeles, CA con -24,4%, Miami, FL con -22,4% e San Diego, CA con -20,4%. Le aree che hanno visto l’incremento maggiore sono state: Burlington, VT con +16,1%, Manchester, NH con +6,4% e Honolulu, HI con +4,9%.</w:t>
      </w:r>
    </w:p>
    <w:p w14:paraId="5756862A" w14:textId="6D6ECFF6" w:rsidR="00ED65A8" w:rsidRDefault="00ED65A8" w:rsidP="00D914ED">
      <w:pPr>
        <w:spacing w:after="0" w:line="276" w:lineRule="auto"/>
        <w:jc w:val="both"/>
        <w:rPr>
          <w:rFonts w:asciiTheme="majorHAnsi" w:eastAsia="Times New Roman" w:hAnsiTheme="majorHAnsi" w:cs="Arial"/>
        </w:rPr>
      </w:pPr>
    </w:p>
    <w:p w14:paraId="4F2D0448" w14:textId="77777777" w:rsidR="004F3B0A" w:rsidRDefault="004F3B0A" w:rsidP="00D914ED">
      <w:pPr>
        <w:spacing w:after="0" w:line="276" w:lineRule="auto"/>
        <w:jc w:val="both"/>
        <w:rPr>
          <w:rFonts w:asciiTheme="majorHAnsi" w:eastAsia="Times New Roman" w:hAnsiTheme="majorHAnsi" w:cs="Arial"/>
        </w:rPr>
      </w:pPr>
    </w:p>
    <w:p w14:paraId="56002BF8" w14:textId="41B60501" w:rsidR="006D051A" w:rsidRPr="00F63B60" w:rsidRDefault="006D051A" w:rsidP="00D914ED">
      <w:pPr>
        <w:spacing w:after="0" w:line="276" w:lineRule="auto"/>
        <w:jc w:val="both"/>
        <w:rPr>
          <w:rFonts w:asciiTheme="majorHAnsi" w:eastAsia="Times New Roman" w:hAnsiTheme="majorHAnsi" w:cs="Arial"/>
          <w:b/>
          <w:bCs/>
          <w:color w:val="FF0000"/>
        </w:rPr>
      </w:pPr>
      <w:r w:rsidRPr="00F63B60">
        <w:rPr>
          <w:rFonts w:asciiTheme="majorHAnsi" w:eastAsia="Times New Roman" w:hAnsiTheme="majorHAnsi" w:cs="Arial"/>
          <w:b/>
          <w:bCs/>
          <w:color w:val="FF0000"/>
        </w:rPr>
        <w:lastRenderedPageBreak/>
        <w:t>PREZZO MEDIANO DI VENDITA</w:t>
      </w:r>
    </w:p>
    <w:p w14:paraId="1B585F86" w14:textId="37FD1E98" w:rsidR="00234D1D" w:rsidRDefault="00234D1D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 w:rsidRPr="00234D1D">
        <w:rPr>
          <w:rFonts w:asciiTheme="majorHAnsi" w:eastAsia="Times New Roman" w:hAnsiTheme="majorHAnsi" w:cs="Arial"/>
        </w:rPr>
        <w:t>A maggio 2022, il prezzo mediano degli immobili venduti nelle 51 aree metropolitane analizzate è stato di $430.000, con un aumento dell'1,2% rispetto ad aprile 2022 e del 13,2% rispetto a maggio 2021. Nessuna città ha registrato una diminuzione nel prezzo mediano di vendita rispetto allo stesso mese dell'anno precedente. Delle 51 città, 39 hanno visto un aumento anno su anno a doppia cifra percentuale, le più alte a: Kansas City, MO con +32,9%, Fayetteville, AR con +28,8% e Tampa, FL con +28,4%.</w:t>
      </w:r>
    </w:p>
    <w:p w14:paraId="53B0A9C5" w14:textId="3B6DC861" w:rsidR="00234D1D" w:rsidRDefault="00234D1D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</w:p>
    <w:p w14:paraId="7DACF498" w14:textId="048B6D70" w:rsidR="00234D1D" w:rsidRPr="00234D1D" w:rsidRDefault="00234D1D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 w:rsidRPr="00234D1D">
        <w:rPr>
          <w:rFonts w:asciiTheme="majorHAnsi" w:eastAsia="Times New Roman" w:hAnsiTheme="majorHAnsi" w:cs="Arial"/>
          <w:b/>
          <w:bCs/>
          <w:color w:val="FF0000"/>
        </w:rPr>
        <w:t>RAPPORTO FRA PREZZO DI CHIUSURA E PREZZO INIZIALE – MEDIA DEI PREZZI NELLE 51 AREE METROPOLITANE</w:t>
      </w:r>
      <w:r w:rsidRPr="00234D1D">
        <w:rPr>
          <w:rFonts w:asciiTheme="majorHAnsi" w:eastAsia="Times New Roman" w:hAnsiTheme="majorHAnsi" w:cs="Arial"/>
          <w:b/>
          <w:bCs/>
          <w:color w:val="FF0000"/>
        </w:rPr>
        <w:br/>
      </w:r>
      <w:r w:rsidRPr="00234D1D">
        <w:rPr>
          <w:rFonts w:asciiTheme="majorHAnsi" w:eastAsia="Times New Roman" w:hAnsiTheme="majorHAnsi" w:cs="Arial"/>
        </w:rPr>
        <w:t>A maggio 2022, il rapporto medio fra prezzo di chiusura e prezzo iniziale degli immobili venduti nelle 51 aree metropolitane analizzate</w:t>
      </w:r>
      <w:r w:rsidR="006E5001">
        <w:rPr>
          <w:rFonts w:asciiTheme="majorHAnsi" w:eastAsia="Times New Roman" w:hAnsiTheme="majorHAnsi" w:cs="Arial"/>
        </w:rPr>
        <w:t xml:space="preserve"> dal Report RE/MAX</w:t>
      </w:r>
      <w:r w:rsidRPr="00234D1D">
        <w:rPr>
          <w:rFonts w:asciiTheme="majorHAnsi" w:eastAsia="Times New Roman" w:hAnsiTheme="majorHAnsi" w:cs="Arial"/>
        </w:rPr>
        <w:t xml:space="preserve"> è stato del 103,3%, con un calo dello 0,2% rispetto ad aprile 2022 e un aumento dell'1,6% rispetto a maggio 2021. Il rapporto fra prezzo di chiusura e prezzo iniziale esprime il valore medio del prezzo di vendita, diviso per il prezzo inizialmente richiesto: se è maggiore del 100%, la casa è stata venduta a un prezzo superiore a quello iniziale; se è minore del 100%, la casa è stata venduta a un prezzo inferiore a quello iniziale. Le aree metropolitane con il rapporto più basso fra prezzo di chiusura e prezzo iniziale sono state: Miami, FL con 98,1%, New Orleans, LA con 99,2% e </w:t>
      </w:r>
      <w:proofErr w:type="spellStart"/>
      <w:r w:rsidRPr="00234D1D">
        <w:rPr>
          <w:rFonts w:asciiTheme="majorHAnsi" w:eastAsia="Times New Roman" w:hAnsiTheme="majorHAnsi" w:cs="Arial"/>
        </w:rPr>
        <w:t>Coeur</w:t>
      </w:r>
      <w:proofErr w:type="spellEnd"/>
      <w:r w:rsidRPr="00234D1D">
        <w:rPr>
          <w:rFonts w:asciiTheme="majorHAnsi" w:eastAsia="Times New Roman" w:hAnsiTheme="majorHAnsi" w:cs="Arial"/>
        </w:rPr>
        <w:t xml:space="preserve"> d’</w:t>
      </w:r>
      <w:proofErr w:type="spellStart"/>
      <w:r w:rsidRPr="00234D1D">
        <w:rPr>
          <w:rFonts w:asciiTheme="majorHAnsi" w:eastAsia="Times New Roman" w:hAnsiTheme="majorHAnsi" w:cs="Arial"/>
        </w:rPr>
        <w:t>Alene</w:t>
      </w:r>
      <w:proofErr w:type="spellEnd"/>
      <w:r w:rsidRPr="00234D1D">
        <w:rPr>
          <w:rFonts w:asciiTheme="majorHAnsi" w:eastAsia="Times New Roman" w:hAnsiTheme="majorHAnsi" w:cs="Arial"/>
        </w:rPr>
        <w:t>, ID con 99,9%. I rapporti più alti fra prezzo di chiusura e prezzo iniziale sono stati rilevati a San Francisco, CA con 111,3%, Burlington, VT con 106,7% e Richmond, VA con 106,5%.</w:t>
      </w:r>
    </w:p>
    <w:p w14:paraId="62638F4A" w14:textId="3FC7456C" w:rsidR="006D051A" w:rsidRPr="00F63B60" w:rsidRDefault="006D051A" w:rsidP="006D051A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  <w:b/>
          <w:bCs/>
          <w:color w:val="FF0000"/>
        </w:rPr>
      </w:pPr>
      <w:r w:rsidRPr="00F63B60">
        <w:rPr>
          <w:rFonts w:asciiTheme="majorHAnsi" w:eastAsia="Times New Roman" w:hAnsiTheme="majorHAnsi" w:cs="Arial"/>
          <w:b/>
          <w:bCs/>
          <w:color w:val="FF0000"/>
        </w:rPr>
        <w:t xml:space="preserve">GIORNI SUL MERCATO – MEDIA DELLE </w:t>
      </w:r>
      <w:r w:rsidR="00A679BC" w:rsidRPr="00F63B60">
        <w:rPr>
          <w:rFonts w:asciiTheme="majorHAnsi" w:eastAsia="Times New Roman" w:hAnsiTheme="majorHAnsi" w:cs="Arial"/>
          <w:b/>
          <w:bCs/>
          <w:color w:val="FF0000"/>
        </w:rPr>
        <w:t>5</w:t>
      </w:r>
      <w:r w:rsidR="00234D1D">
        <w:rPr>
          <w:rFonts w:asciiTheme="majorHAnsi" w:eastAsia="Times New Roman" w:hAnsiTheme="majorHAnsi" w:cs="Arial"/>
          <w:b/>
          <w:bCs/>
          <w:color w:val="FF0000"/>
        </w:rPr>
        <w:t>1</w:t>
      </w:r>
      <w:r w:rsidR="00A679BC" w:rsidRPr="00F63B60">
        <w:rPr>
          <w:rFonts w:asciiTheme="majorHAnsi" w:eastAsia="Times New Roman" w:hAnsiTheme="majorHAnsi" w:cs="Arial"/>
          <w:b/>
          <w:bCs/>
          <w:color w:val="FF0000"/>
        </w:rPr>
        <w:t xml:space="preserve"> </w:t>
      </w:r>
      <w:r w:rsidRPr="00F63B60">
        <w:rPr>
          <w:rFonts w:asciiTheme="majorHAnsi" w:eastAsia="Times New Roman" w:hAnsiTheme="majorHAnsi" w:cs="Arial"/>
          <w:b/>
          <w:bCs/>
          <w:color w:val="FF0000"/>
        </w:rPr>
        <w:t>CITTÀ ANALIZZATE</w:t>
      </w:r>
    </w:p>
    <w:p w14:paraId="0F80CD70" w14:textId="73F20859" w:rsidR="00234D1D" w:rsidRPr="00234D1D" w:rsidRDefault="00234D1D" w:rsidP="00234D1D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 w:rsidRPr="00234D1D">
        <w:rPr>
          <w:rFonts w:asciiTheme="majorHAnsi" w:eastAsia="Times New Roman" w:hAnsiTheme="majorHAnsi" w:cs="Arial"/>
        </w:rPr>
        <w:t>A maggio 2022 la media dei giorni sul mercato degli immobili venduti è stata di 23 giorni</w:t>
      </w:r>
      <w:r w:rsidR="006E5001">
        <w:rPr>
          <w:rFonts w:asciiTheme="majorHAnsi" w:eastAsia="Times New Roman" w:hAnsiTheme="majorHAnsi" w:cs="Arial"/>
        </w:rPr>
        <w:t>,</w:t>
      </w:r>
      <w:r w:rsidRPr="00234D1D">
        <w:rPr>
          <w:rFonts w:asciiTheme="majorHAnsi" w:eastAsia="Times New Roman" w:hAnsiTheme="majorHAnsi" w:cs="Arial"/>
        </w:rPr>
        <w:t xml:space="preserve"> tre in meno rispetto alla media di aprile 2022 e due in meno rispetto a quella di maggio 2021. I mercati con la media di giorni più bassa sono stati: Dover, DE con 8, seguito da tre città a pari merito con 9 (Baltimore, MD, Denver, CO e Washington, DC). Le medie più alte di giorni sul mercato si sono registrate a Fayetteville, AR con 63, Raleigh, NC con 47 e New York, NY con 43. I "giorni sul mercato" indicano il numero medio di giorni che intercorrono dalla presa dell’incarico alla firma del contratto.</w:t>
      </w:r>
    </w:p>
    <w:p w14:paraId="6C96C1E8" w14:textId="125A9A7B" w:rsidR="006D051A" w:rsidRPr="00F63B60" w:rsidRDefault="006D051A" w:rsidP="006D051A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  <w:b/>
          <w:bCs/>
          <w:color w:val="FF0000"/>
        </w:rPr>
      </w:pPr>
      <w:r w:rsidRPr="00F63B60">
        <w:rPr>
          <w:rFonts w:asciiTheme="majorHAnsi" w:eastAsia="Times New Roman" w:hAnsiTheme="majorHAnsi" w:cs="Arial"/>
          <w:b/>
          <w:bCs/>
          <w:color w:val="FF0000"/>
        </w:rPr>
        <w:t>ANDAMENTO DI VENDITA MEDIA MENSILE</w:t>
      </w:r>
    </w:p>
    <w:p w14:paraId="70BF97EA" w14:textId="2737340C" w:rsidR="00234D1D" w:rsidRDefault="00234D1D" w:rsidP="009D5A94">
      <w:pPr>
        <w:spacing w:after="0"/>
        <w:jc w:val="both"/>
        <w:rPr>
          <w:rFonts w:asciiTheme="majorHAnsi" w:eastAsia="Times New Roman" w:hAnsiTheme="majorHAnsi" w:cs="Arial"/>
        </w:rPr>
      </w:pPr>
      <w:bookmarkStart w:id="1" w:name="_Hlk99360465"/>
      <w:r w:rsidRPr="00234D1D">
        <w:rPr>
          <w:rFonts w:asciiTheme="majorHAnsi" w:eastAsia="Times New Roman" w:hAnsiTheme="majorHAnsi" w:cs="Arial"/>
        </w:rPr>
        <w:t>Il numero degli immobili in vendita a maggio 2022 è cresciuto del 16,3% rispetto ad aprile 2022 e del 2,2% rispetto a maggio 2021. L’andamento di vendita media mensile basato sugli immobili venduti a maggio 2022 è sceso a 0,9 mesi rispetto agli 0,8 di aprile 2022 e ai 1,0 di maggio 2021. A maggio 2022, i mercati con l'offerta più bassa (0,4) sono stati tre: Albuquerque, NM, Manchester, NH e Milwaukee, WI.</w:t>
      </w:r>
    </w:p>
    <w:p w14:paraId="69ADB214" w14:textId="77777777" w:rsidR="00234D1D" w:rsidRPr="00234D1D" w:rsidRDefault="00234D1D" w:rsidP="00234D1D">
      <w:pPr>
        <w:spacing w:after="0"/>
        <w:rPr>
          <w:rFonts w:asciiTheme="majorHAnsi" w:eastAsia="Times New Roman" w:hAnsiTheme="majorHAnsi" w:cs="Arial"/>
        </w:rPr>
      </w:pPr>
    </w:p>
    <w:p w14:paraId="24DA69D6" w14:textId="7E861CC7" w:rsidR="005F0775" w:rsidRPr="00F63B60" w:rsidRDefault="00A01A35" w:rsidP="00F63B60">
      <w:pPr>
        <w:spacing w:before="100" w:beforeAutospacing="1" w:after="0"/>
        <w:rPr>
          <w:rFonts w:asciiTheme="majorHAnsi" w:hAnsiTheme="majorHAnsi"/>
          <w:sz w:val="20"/>
          <w:szCs w:val="20"/>
        </w:rPr>
      </w:pPr>
      <w:r w:rsidRPr="00F63B60">
        <w:rPr>
          <w:rFonts w:asciiTheme="majorHAnsi" w:hAnsiTheme="majorHAnsi"/>
          <w:b/>
          <w:bCs/>
          <w:sz w:val="20"/>
          <w:szCs w:val="20"/>
        </w:rPr>
        <w:t xml:space="preserve">COMPANY PROFILE </w:t>
      </w:r>
      <w:r w:rsidR="005F0775" w:rsidRPr="00F63B60">
        <w:rPr>
          <w:rFonts w:asciiTheme="majorHAnsi" w:hAnsiTheme="majorHAnsi"/>
          <w:b/>
          <w:bCs/>
          <w:sz w:val="20"/>
          <w:szCs w:val="20"/>
        </w:rPr>
        <w:t>RE/MAX LLC</w:t>
      </w:r>
    </w:p>
    <w:p w14:paraId="51A6FF19" w14:textId="3715DA8E" w:rsidR="0027115D" w:rsidRPr="00F63B60" w:rsidRDefault="0027115D" w:rsidP="00F63B60">
      <w:pPr>
        <w:shd w:val="clear" w:color="auto" w:fill="FFFFFF"/>
        <w:spacing w:after="240" w:line="276" w:lineRule="auto"/>
        <w:jc w:val="both"/>
        <w:rPr>
          <w:rFonts w:asciiTheme="majorHAnsi" w:hAnsiTheme="majorHAnsi"/>
          <w:sz w:val="20"/>
          <w:szCs w:val="20"/>
        </w:rPr>
      </w:pPr>
      <w:r w:rsidRPr="00F63B60">
        <w:rPr>
          <w:rFonts w:asciiTheme="majorHAnsi" w:hAnsiTheme="majorHAnsi"/>
          <w:sz w:val="20"/>
          <w:szCs w:val="20"/>
        </w:rPr>
        <w:t>RE/MAX, LLC, filiale di RE/MAX Holdings (</w:t>
      </w:r>
      <w:proofErr w:type="gramStart"/>
      <w:r w:rsidRPr="00F63B60">
        <w:rPr>
          <w:rFonts w:asciiTheme="majorHAnsi" w:hAnsiTheme="majorHAnsi"/>
          <w:sz w:val="20"/>
          <w:szCs w:val="20"/>
        </w:rPr>
        <w:t>NYSE:RMAX</w:t>
      </w:r>
      <w:proofErr w:type="gramEnd"/>
      <w:r w:rsidRPr="00F63B60">
        <w:rPr>
          <w:rFonts w:asciiTheme="majorHAnsi" w:hAnsiTheme="majorHAnsi"/>
          <w:sz w:val="20"/>
          <w:szCs w:val="20"/>
        </w:rPr>
        <w:t>) è uno dei principali franchisor immobiliari a livello globale con quasi 14</w:t>
      </w:r>
      <w:r w:rsidR="00384678">
        <w:rPr>
          <w:rFonts w:asciiTheme="majorHAnsi" w:hAnsiTheme="majorHAnsi"/>
          <w:sz w:val="20"/>
          <w:szCs w:val="20"/>
        </w:rPr>
        <w:t>2</w:t>
      </w:r>
      <w:r w:rsidRPr="00F63B60">
        <w:rPr>
          <w:rFonts w:asciiTheme="majorHAnsi" w:hAnsiTheme="majorHAnsi"/>
          <w:sz w:val="20"/>
          <w:szCs w:val="20"/>
        </w:rPr>
        <w:t>.000 agenti affiliati in più di 11</w:t>
      </w:r>
      <w:r w:rsidR="00C0279C">
        <w:rPr>
          <w:rFonts w:asciiTheme="majorHAnsi" w:hAnsiTheme="majorHAnsi"/>
          <w:sz w:val="20"/>
          <w:szCs w:val="20"/>
        </w:rPr>
        <w:t>0</w:t>
      </w:r>
      <w:r w:rsidRPr="00F63B60">
        <w:rPr>
          <w:rFonts w:asciiTheme="majorHAnsi" w:hAnsiTheme="majorHAnsi"/>
          <w:sz w:val="20"/>
          <w:szCs w:val="20"/>
        </w:rPr>
        <w:t xml:space="preserve"> paesi al mondo. Nessuno al mondo vende più immobili di RE/MAX®, come emerge dal calcolo delle transazioni residenziali. RE/MAX è stata fondata nel 1973 da </w:t>
      </w:r>
      <w:proofErr w:type="spellStart"/>
      <w:r w:rsidRPr="00F63B60">
        <w:rPr>
          <w:rFonts w:asciiTheme="majorHAnsi" w:hAnsiTheme="majorHAnsi"/>
          <w:sz w:val="20"/>
          <w:szCs w:val="20"/>
        </w:rPr>
        <w:t>Dave</w:t>
      </w:r>
      <w:proofErr w:type="spellEnd"/>
      <w:r w:rsidRPr="00F63B60">
        <w:rPr>
          <w:rFonts w:asciiTheme="majorHAnsi" w:hAnsiTheme="majorHAnsi"/>
          <w:sz w:val="20"/>
          <w:szCs w:val="20"/>
        </w:rPr>
        <w:t xml:space="preserve"> e </w:t>
      </w:r>
      <w:proofErr w:type="spellStart"/>
      <w:r w:rsidRPr="00F63B60">
        <w:rPr>
          <w:rFonts w:asciiTheme="majorHAnsi" w:hAnsiTheme="majorHAnsi"/>
          <w:sz w:val="20"/>
          <w:szCs w:val="20"/>
        </w:rPr>
        <w:t>Gail</w:t>
      </w:r>
      <w:proofErr w:type="spellEnd"/>
      <w:r w:rsidRPr="00F63B60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63B60">
        <w:rPr>
          <w:rFonts w:asciiTheme="majorHAnsi" w:hAnsiTheme="majorHAnsi"/>
          <w:sz w:val="20"/>
          <w:szCs w:val="20"/>
        </w:rPr>
        <w:t>Liniger</w:t>
      </w:r>
      <w:proofErr w:type="spellEnd"/>
      <w:r w:rsidRPr="00F63B60">
        <w:rPr>
          <w:rFonts w:asciiTheme="majorHAnsi" w:hAnsiTheme="majorHAnsi"/>
          <w:sz w:val="20"/>
          <w:szCs w:val="20"/>
        </w:rPr>
        <w:t xml:space="preserve">, con una cultura innovativa e imprenditoriale che offre ai suoi agenti e franchisee la flessibilità di gestire i loro affari con grande indipendenza. Gli agenti RE/MAX hanno vissuto, lavorato e operato nelle loro comunità locali per decenni, raccogliendo milioni di dollari ogni anno per i </w:t>
      </w:r>
      <w:proofErr w:type="spellStart"/>
      <w:r w:rsidRPr="00F63B60">
        <w:rPr>
          <w:rFonts w:asciiTheme="majorHAnsi" w:hAnsiTheme="majorHAnsi"/>
          <w:sz w:val="20"/>
          <w:szCs w:val="20"/>
        </w:rPr>
        <w:t>Children's</w:t>
      </w:r>
      <w:proofErr w:type="spellEnd"/>
      <w:r w:rsidRPr="00F63B60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63B60">
        <w:rPr>
          <w:rFonts w:asciiTheme="majorHAnsi" w:hAnsiTheme="majorHAnsi"/>
          <w:sz w:val="20"/>
          <w:szCs w:val="20"/>
        </w:rPr>
        <w:t>Miracle</w:t>
      </w:r>
      <w:proofErr w:type="spellEnd"/>
      <w:r w:rsidRPr="00F63B60">
        <w:rPr>
          <w:rFonts w:asciiTheme="majorHAnsi" w:hAnsiTheme="majorHAnsi"/>
          <w:sz w:val="20"/>
          <w:szCs w:val="20"/>
        </w:rPr>
        <w:t xml:space="preserve"> Network Hospitals® e altri enti di beneficenza. Per maggiori informazioni </w:t>
      </w:r>
      <w:r w:rsidR="00A01A35" w:rsidRPr="00F63B60">
        <w:rPr>
          <w:rFonts w:asciiTheme="majorHAnsi" w:hAnsiTheme="majorHAnsi"/>
          <w:sz w:val="20"/>
          <w:szCs w:val="20"/>
        </w:rPr>
        <w:t xml:space="preserve">su </w:t>
      </w:r>
      <w:r w:rsidRPr="00F63B60">
        <w:rPr>
          <w:rFonts w:asciiTheme="majorHAnsi" w:hAnsiTheme="majorHAnsi"/>
          <w:sz w:val="20"/>
          <w:szCs w:val="20"/>
        </w:rPr>
        <w:t xml:space="preserve">RE/MAX a livello globale, per cercare annunci di case o trovare un agente nella vostra comunità, visitate </w:t>
      </w:r>
      <w:hyperlink r:id="rId10" w:history="1">
        <w:r w:rsidRPr="00F63B60">
          <w:rPr>
            <w:rStyle w:val="Collegamentoipertestuale"/>
            <w:rFonts w:asciiTheme="majorHAnsi" w:hAnsiTheme="majorHAnsi"/>
            <w:sz w:val="20"/>
            <w:szCs w:val="20"/>
          </w:rPr>
          <w:t>www.remax.com</w:t>
        </w:r>
      </w:hyperlink>
      <w:r w:rsidRPr="00F63B60">
        <w:rPr>
          <w:rFonts w:asciiTheme="majorHAnsi" w:hAnsiTheme="majorHAnsi"/>
          <w:sz w:val="20"/>
          <w:szCs w:val="20"/>
        </w:rPr>
        <w:t xml:space="preserve">. Per le ultime notizie su RE/MAX, visitate </w:t>
      </w:r>
      <w:hyperlink r:id="rId11" w:history="1">
        <w:r w:rsidRPr="00F63B60">
          <w:rPr>
            <w:rStyle w:val="Collegamentoipertestuale"/>
            <w:rFonts w:asciiTheme="majorHAnsi" w:hAnsiTheme="majorHAnsi"/>
            <w:sz w:val="20"/>
            <w:szCs w:val="20"/>
          </w:rPr>
          <w:t>news.remax.com</w:t>
        </w:r>
      </w:hyperlink>
      <w:r w:rsidRPr="00F63B60">
        <w:rPr>
          <w:rFonts w:asciiTheme="majorHAnsi" w:hAnsiTheme="majorHAnsi"/>
          <w:sz w:val="20"/>
          <w:szCs w:val="20"/>
        </w:rPr>
        <w:t>.</w:t>
      </w:r>
    </w:p>
    <w:bookmarkEnd w:id="1"/>
    <w:p w14:paraId="68FF025A" w14:textId="77777777" w:rsidR="003F25B9" w:rsidRPr="00F63B60" w:rsidRDefault="003F25B9" w:rsidP="003F25B9">
      <w:pPr>
        <w:spacing w:after="0"/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</w:pPr>
      <w:r w:rsidRPr="00F63B60"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  <w:t xml:space="preserve">Pinkommunication </w:t>
      </w:r>
      <w:proofErr w:type="spellStart"/>
      <w:r w:rsidRPr="00F63B60"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  <w:t>srl</w:t>
      </w:r>
      <w:proofErr w:type="spellEnd"/>
      <w:r w:rsidRPr="00F63B60"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  <w:t xml:space="preserve"> - Ufficio stampa RE/MAX Italia </w:t>
      </w:r>
    </w:p>
    <w:p w14:paraId="1A0A12EF" w14:textId="77777777" w:rsidR="003F25B9" w:rsidRPr="00F63B60" w:rsidRDefault="003F25B9" w:rsidP="003F25B9">
      <w:pPr>
        <w:spacing w:after="0"/>
        <w:rPr>
          <w:rFonts w:asciiTheme="majorHAnsi" w:hAnsiTheme="majorHAnsi" w:cs="Calibri Light"/>
          <w:color w:val="000000"/>
          <w:sz w:val="20"/>
          <w:szCs w:val="20"/>
        </w:rPr>
      </w:pPr>
      <w:r w:rsidRPr="00F63B60">
        <w:rPr>
          <w:rFonts w:asciiTheme="majorHAnsi" w:hAnsiTheme="majorHAnsi" w:cs="Calibri Light"/>
          <w:color w:val="000000"/>
          <w:sz w:val="20"/>
          <w:szCs w:val="20"/>
        </w:rPr>
        <w:t xml:space="preserve">Cristina Cortellezzi – Laura Premoli – Claudia Valerani </w:t>
      </w:r>
    </w:p>
    <w:p w14:paraId="5EF2F9FA" w14:textId="7642962C" w:rsidR="00783B34" w:rsidRPr="009D5A94" w:rsidRDefault="009406C3" w:rsidP="009D5A94">
      <w:pPr>
        <w:spacing w:after="0"/>
        <w:rPr>
          <w:rFonts w:asciiTheme="majorHAnsi" w:hAnsiTheme="majorHAnsi" w:cs="Calibri Light"/>
          <w:color w:val="000000"/>
          <w:sz w:val="20"/>
          <w:szCs w:val="20"/>
        </w:rPr>
      </w:pPr>
      <w:hyperlink r:id="rId12" w:history="1">
        <w:r w:rsidR="003F25B9" w:rsidRPr="00F63B60">
          <w:rPr>
            <w:rFonts w:asciiTheme="majorHAnsi" w:hAnsiTheme="majorHAnsi" w:cs="Calibri Light"/>
            <w:color w:val="000000"/>
            <w:sz w:val="20"/>
            <w:szCs w:val="20"/>
          </w:rPr>
          <w:t>info@pinkommunication.it</w:t>
        </w:r>
      </w:hyperlink>
      <w:r w:rsidR="003F25B9" w:rsidRPr="00F63B60">
        <w:rPr>
          <w:rFonts w:asciiTheme="majorHAnsi" w:hAnsiTheme="majorHAnsi" w:cs="Calibri Light"/>
          <w:color w:val="000000"/>
          <w:sz w:val="20"/>
          <w:szCs w:val="20"/>
        </w:rPr>
        <w:t xml:space="preserve"> </w:t>
      </w:r>
      <w:r w:rsidR="00C85FAB">
        <w:rPr>
          <w:rFonts w:asciiTheme="majorHAnsi" w:hAnsiTheme="majorHAnsi" w:cs="Calibri Light"/>
          <w:color w:val="000000"/>
          <w:sz w:val="20"/>
          <w:szCs w:val="20"/>
        </w:rPr>
        <w:t xml:space="preserve">- </w:t>
      </w:r>
      <w:r w:rsidR="003F25B9" w:rsidRPr="00F63B60">
        <w:rPr>
          <w:rFonts w:asciiTheme="majorHAnsi" w:hAnsiTheme="majorHAnsi" w:cs="Calibri Light"/>
          <w:color w:val="000000"/>
          <w:sz w:val="20"/>
          <w:szCs w:val="20"/>
        </w:rPr>
        <w:t>T. 02 89077160 – M. 340 1044227</w:t>
      </w:r>
    </w:p>
    <w:sectPr w:rsidR="00783B34" w:rsidRPr="009D5A94" w:rsidSect="003F25B9">
      <w:headerReference w:type="default" r:id="rId13"/>
      <w:pgSz w:w="11906" w:h="16838"/>
      <w:pgMar w:top="211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DE6A5" w14:textId="77777777" w:rsidR="00A10FC4" w:rsidRDefault="00A10FC4" w:rsidP="003F25B9">
      <w:pPr>
        <w:spacing w:after="0" w:line="240" w:lineRule="auto"/>
      </w:pPr>
      <w:r>
        <w:separator/>
      </w:r>
    </w:p>
  </w:endnote>
  <w:endnote w:type="continuationSeparator" w:id="0">
    <w:p w14:paraId="70271E75" w14:textId="77777777" w:rsidR="00A10FC4" w:rsidRDefault="00A10FC4" w:rsidP="003F2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2F3AC" w14:textId="77777777" w:rsidR="00A10FC4" w:rsidRDefault="00A10FC4" w:rsidP="003F25B9">
      <w:pPr>
        <w:spacing w:after="0" w:line="240" w:lineRule="auto"/>
      </w:pPr>
      <w:r>
        <w:separator/>
      </w:r>
    </w:p>
  </w:footnote>
  <w:footnote w:type="continuationSeparator" w:id="0">
    <w:p w14:paraId="50E4C130" w14:textId="77777777" w:rsidR="00A10FC4" w:rsidRDefault="00A10FC4" w:rsidP="003F2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FE9B0" w14:textId="77777777" w:rsidR="003F25B9" w:rsidRDefault="003F25B9">
    <w:pPr>
      <w:pStyle w:val="Intestazione"/>
    </w:pPr>
    <w:r w:rsidRPr="00212D33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9709C91" wp14:editId="30332B63">
          <wp:simplePos x="0" y="0"/>
          <wp:positionH relativeFrom="column">
            <wp:posOffset>-200025</wp:posOffset>
          </wp:positionH>
          <wp:positionV relativeFrom="page">
            <wp:posOffset>410845</wp:posOffset>
          </wp:positionV>
          <wp:extent cx="546735" cy="692150"/>
          <wp:effectExtent l="19050" t="0" r="5715" b="0"/>
          <wp:wrapNone/>
          <wp:docPr id="25" name="Immagine 25">
            <a:extLst xmlns:a="http://schemas.openxmlformats.org/drawingml/2006/main">
              <a:ext uri="{FF2B5EF4-FFF2-40B4-BE49-F238E27FC236}">
                <a16:creationId xmlns:a16="http://schemas.microsoft.com/office/drawing/2014/main" id="{FDD0CBBE-5AB1-42B2-B55D-937B434D92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>
                    <a:extLst>
                      <a:ext uri="{FF2B5EF4-FFF2-40B4-BE49-F238E27FC236}">
                        <a16:creationId xmlns:a16="http://schemas.microsoft.com/office/drawing/2014/main" id="{FDD0CBBE-5AB1-42B2-B55D-937B434D92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735" cy="69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24CCCA" w14:textId="77777777" w:rsidR="003F25B9" w:rsidRDefault="003F25B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143E19" wp14:editId="419F0359">
              <wp:simplePos x="0" y="0"/>
              <wp:positionH relativeFrom="column">
                <wp:posOffset>403860</wp:posOffset>
              </wp:positionH>
              <wp:positionV relativeFrom="paragraph">
                <wp:posOffset>10160</wp:posOffset>
              </wp:positionV>
              <wp:extent cx="6033135" cy="427990"/>
              <wp:effectExtent l="0" t="0" r="24765" b="10160"/>
              <wp:wrapSquare wrapText="bothSides"/>
              <wp:docPr id="19" name="Rettango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33135" cy="427990"/>
                      </a:xfrm>
                      <a:prstGeom prst="rect">
                        <a:avLst/>
                      </a:prstGeom>
                      <a:solidFill>
                        <a:srgbClr val="DC1C2E"/>
                      </a:solidFill>
                      <a:ln>
                        <a:solidFill>
                          <a:srgbClr val="DC1C2E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C504500" w14:textId="3B15A9EC" w:rsidR="003F25B9" w:rsidRDefault="003F25B9" w:rsidP="003F25B9">
                          <w:pPr>
                            <w:pStyle w:val="Normale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</w:pPr>
                          <w:r w:rsidRPr="000378C0"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  <w:t xml:space="preserve">National Housing Report – </w:t>
                          </w:r>
                          <w:r w:rsidR="00234D1D"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  <w:t>giugno</w:t>
                          </w:r>
                          <w:r w:rsidR="00762458"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  <w:t xml:space="preserve"> 2022</w:t>
                          </w:r>
                          <w:r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7E73D867" w14:textId="77777777" w:rsidR="003F25B9" w:rsidRDefault="003F25B9" w:rsidP="003F25B9">
                          <w:pPr>
                            <w:pStyle w:val="Normale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</w:pPr>
                        </w:p>
                        <w:p w14:paraId="3D41EB98" w14:textId="77777777" w:rsidR="003F25B9" w:rsidRDefault="003F25B9" w:rsidP="003F25B9">
                          <w:pPr>
                            <w:pStyle w:val="Normale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</w:pPr>
                        </w:p>
                        <w:p w14:paraId="24F7E995" w14:textId="77777777" w:rsidR="003F25B9" w:rsidRDefault="003F25B9" w:rsidP="003F25B9">
                          <w:pPr>
                            <w:pStyle w:val="Normale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</w:pPr>
                        </w:p>
                        <w:p w14:paraId="55C8B7EB" w14:textId="77777777" w:rsidR="003F25B9" w:rsidRPr="000378C0" w:rsidRDefault="003F25B9" w:rsidP="003F25B9">
                          <w:pPr>
                            <w:pStyle w:val="Normale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b/>
                            </w:rPr>
                          </w:pPr>
                        </w:p>
                      </w:txbxContent>
                    </wps:txbx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143E19" id="Rettangolo 19" o:spid="_x0000_s1026" style="position:absolute;margin-left:31.8pt;margin-top:.8pt;width:475.05pt;height:3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" fillcolor="#dc1c2e" strokecolor="#dc1c2e" strokeweight="1pt">
              <v:path arrowok="t"/>
              <v:textbox>
                <w:txbxContent>
                  <w:p w14:paraId="0C504500" w14:textId="3B15A9EC" w:rsidR="003F25B9" w:rsidRDefault="003F25B9" w:rsidP="003F25B9">
                    <w:pPr>
                      <w:pStyle w:val="Normale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</w:pPr>
                    <w:r w:rsidRPr="000378C0"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  <w:t xml:space="preserve">National Housing Report – </w:t>
                    </w:r>
                    <w:r w:rsidR="00234D1D"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  <w:t>giugno</w:t>
                    </w:r>
                    <w:r w:rsidR="00762458"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  <w:t xml:space="preserve"> 2022</w:t>
                    </w:r>
                    <w:r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  <w:t xml:space="preserve"> </w:t>
                    </w:r>
                  </w:p>
                  <w:p w14:paraId="7E73D867" w14:textId="77777777" w:rsidR="003F25B9" w:rsidRDefault="003F25B9" w:rsidP="003F25B9">
                    <w:pPr>
                      <w:pStyle w:val="Normale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</w:pPr>
                  </w:p>
                  <w:p w14:paraId="3D41EB98" w14:textId="77777777" w:rsidR="003F25B9" w:rsidRDefault="003F25B9" w:rsidP="003F25B9">
                    <w:pPr>
                      <w:pStyle w:val="Normale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</w:pPr>
                  </w:p>
                  <w:p w14:paraId="24F7E995" w14:textId="77777777" w:rsidR="003F25B9" w:rsidRDefault="003F25B9" w:rsidP="003F25B9">
                    <w:pPr>
                      <w:pStyle w:val="Normale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</w:pPr>
                  </w:p>
                  <w:p w14:paraId="55C8B7EB" w14:textId="77777777" w:rsidR="003F25B9" w:rsidRPr="000378C0" w:rsidRDefault="003F25B9" w:rsidP="003F25B9">
                    <w:pPr>
                      <w:pStyle w:val="Normale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b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720F7"/>
    <w:multiLevelType w:val="hybridMultilevel"/>
    <w:tmpl w:val="11706AEA"/>
    <w:lvl w:ilvl="0" w:tplc="E0D6F6B4">
      <w:numFmt w:val="bullet"/>
      <w:lvlText w:val="•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0E"/>
    <w:rsid w:val="000269CF"/>
    <w:rsid w:val="00030760"/>
    <w:rsid w:val="00046FA6"/>
    <w:rsid w:val="00052DE2"/>
    <w:rsid w:val="000541FA"/>
    <w:rsid w:val="000571B6"/>
    <w:rsid w:val="00063A9E"/>
    <w:rsid w:val="000717FD"/>
    <w:rsid w:val="000739A0"/>
    <w:rsid w:val="000C6328"/>
    <w:rsid w:val="000E7BB5"/>
    <w:rsid w:val="00106F74"/>
    <w:rsid w:val="00107206"/>
    <w:rsid w:val="0012551A"/>
    <w:rsid w:val="00136498"/>
    <w:rsid w:val="00137181"/>
    <w:rsid w:val="001734E7"/>
    <w:rsid w:val="001B0391"/>
    <w:rsid w:val="001C701C"/>
    <w:rsid w:val="001E2FDA"/>
    <w:rsid w:val="001E348D"/>
    <w:rsid w:val="001E6BB3"/>
    <w:rsid w:val="001E74AE"/>
    <w:rsid w:val="002016BC"/>
    <w:rsid w:val="00206506"/>
    <w:rsid w:val="002107BD"/>
    <w:rsid w:val="00212B64"/>
    <w:rsid w:val="00234D1D"/>
    <w:rsid w:val="00237842"/>
    <w:rsid w:val="00257633"/>
    <w:rsid w:val="00265973"/>
    <w:rsid w:val="0027115D"/>
    <w:rsid w:val="002A331B"/>
    <w:rsid w:val="002C612A"/>
    <w:rsid w:val="002D091B"/>
    <w:rsid w:val="002D1530"/>
    <w:rsid w:val="002D2EE0"/>
    <w:rsid w:val="0030213C"/>
    <w:rsid w:val="00372197"/>
    <w:rsid w:val="00374B01"/>
    <w:rsid w:val="00375B0A"/>
    <w:rsid w:val="003801A2"/>
    <w:rsid w:val="00381B57"/>
    <w:rsid w:val="00384678"/>
    <w:rsid w:val="0039107C"/>
    <w:rsid w:val="00391377"/>
    <w:rsid w:val="003913FC"/>
    <w:rsid w:val="00396832"/>
    <w:rsid w:val="003B2DE4"/>
    <w:rsid w:val="003B6FF9"/>
    <w:rsid w:val="003C0595"/>
    <w:rsid w:val="003C1B6D"/>
    <w:rsid w:val="003D6CA1"/>
    <w:rsid w:val="003E6BB9"/>
    <w:rsid w:val="003F1639"/>
    <w:rsid w:val="003F25B9"/>
    <w:rsid w:val="004178B9"/>
    <w:rsid w:val="00440530"/>
    <w:rsid w:val="00440A69"/>
    <w:rsid w:val="00451B83"/>
    <w:rsid w:val="0046234E"/>
    <w:rsid w:val="004677E5"/>
    <w:rsid w:val="00480320"/>
    <w:rsid w:val="00484271"/>
    <w:rsid w:val="0048432E"/>
    <w:rsid w:val="004A5C6C"/>
    <w:rsid w:val="004B2E29"/>
    <w:rsid w:val="004B35AA"/>
    <w:rsid w:val="004B40D8"/>
    <w:rsid w:val="004D01E2"/>
    <w:rsid w:val="004E0D4B"/>
    <w:rsid w:val="004F3B0A"/>
    <w:rsid w:val="00502C14"/>
    <w:rsid w:val="00540C97"/>
    <w:rsid w:val="0054220C"/>
    <w:rsid w:val="00562883"/>
    <w:rsid w:val="005A7E8D"/>
    <w:rsid w:val="005F0775"/>
    <w:rsid w:val="00615AD1"/>
    <w:rsid w:val="00616376"/>
    <w:rsid w:val="0061793E"/>
    <w:rsid w:val="00621BEB"/>
    <w:rsid w:val="00630C59"/>
    <w:rsid w:val="006426D9"/>
    <w:rsid w:val="006434ED"/>
    <w:rsid w:val="0064457A"/>
    <w:rsid w:val="006945C2"/>
    <w:rsid w:val="006A7ED9"/>
    <w:rsid w:val="006C3186"/>
    <w:rsid w:val="006C53E0"/>
    <w:rsid w:val="006C5B05"/>
    <w:rsid w:val="006D051A"/>
    <w:rsid w:val="006D39F5"/>
    <w:rsid w:val="006E1D0B"/>
    <w:rsid w:val="006E5001"/>
    <w:rsid w:val="006E6C75"/>
    <w:rsid w:val="00727EEC"/>
    <w:rsid w:val="007337A0"/>
    <w:rsid w:val="00743311"/>
    <w:rsid w:val="00747825"/>
    <w:rsid w:val="007573DF"/>
    <w:rsid w:val="00762458"/>
    <w:rsid w:val="00783B34"/>
    <w:rsid w:val="007C40CC"/>
    <w:rsid w:val="007C4866"/>
    <w:rsid w:val="007E55E0"/>
    <w:rsid w:val="007F2F02"/>
    <w:rsid w:val="008070AF"/>
    <w:rsid w:val="00810B07"/>
    <w:rsid w:val="008459AE"/>
    <w:rsid w:val="00853D21"/>
    <w:rsid w:val="00881D11"/>
    <w:rsid w:val="0088225E"/>
    <w:rsid w:val="00895570"/>
    <w:rsid w:val="008A5634"/>
    <w:rsid w:val="008B1212"/>
    <w:rsid w:val="008D1DCB"/>
    <w:rsid w:val="008D2028"/>
    <w:rsid w:val="008F4E03"/>
    <w:rsid w:val="008F7DCD"/>
    <w:rsid w:val="00903240"/>
    <w:rsid w:val="00931179"/>
    <w:rsid w:val="009406C3"/>
    <w:rsid w:val="0094359D"/>
    <w:rsid w:val="009556E9"/>
    <w:rsid w:val="00956D4F"/>
    <w:rsid w:val="009758D4"/>
    <w:rsid w:val="00977954"/>
    <w:rsid w:val="0099273E"/>
    <w:rsid w:val="009A0ECE"/>
    <w:rsid w:val="009A1A2B"/>
    <w:rsid w:val="009C0E4E"/>
    <w:rsid w:val="009C4182"/>
    <w:rsid w:val="009D5A94"/>
    <w:rsid w:val="009F1A3D"/>
    <w:rsid w:val="009F3401"/>
    <w:rsid w:val="00A01A02"/>
    <w:rsid w:val="00A01A35"/>
    <w:rsid w:val="00A10FC4"/>
    <w:rsid w:val="00A40979"/>
    <w:rsid w:val="00A64DEB"/>
    <w:rsid w:val="00A679BC"/>
    <w:rsid w:val="00A72CAF"/>
    <w:rsid w:val="00A8233B"/>
    <w:rsid w:val="00A87130"/>
    <w:rsid w:val="00AA29CC"/>
    <w:rsid w:val="00AA7EA4"/>
    <w:rsid w:val="00AB601F"/>
    <w:rsid w:val="00AD02B9"/>
    <w:rsid w:val="00AD5B88"/>
    <w:rsid w:val="00B052CF"/>
    <w:rsid w:val="00B142B0"/>
    <w:rsid w:val="00B3285F"/>
    <w:rsid w:val="00B3680E"/>
    <w:rsid w:val="00B379C2"/>
    <w:rsid w:val="00B46790"/>
    <w:rsid w:val="00B46ADB"/>
    <w:rsid w:val="00B47331"/>
    <w:rsid w:val="00B478A2"/>
    <w:rsid w:val="00B47990"/>
    <w:rsid w:val="00B47A7E"/>
    <w:rsid w:val="00BE4B7F"/>
    <w:rsid w:val="00BF5D71"/>
    <w:rsid w:val="00BF725D"/>
    <w:rsid w:val="00C0279C"/>
    <w:rsid w:val="00C11B1E"/>
    <w:rsid w:val="00C16DB5"/>
    <w:rsid w:val="00C270A2"/>
    <w:rsid w:val="00C351F1"/>
    <w:rsid w:val="00C37CCA"/>
    <w:rsid w:val="00C644E2"/>
    <w:rsid w:val="00C737CB"/>
    <w:rsid w:val="00C85FAB"/>
    <w:rsid w:val="00CA7D64"/>
    <w:rsid w:val="00CB4E73"/>
    <w:rsid w:val="00CB77B5"/>
    <w:rsid w:val="00CE241B"/>
    <w:rsid w:val="00CF3687"/>
    <w:rsid w:val="00D02676"/>
    <w:rsid w:val="00D3184E"/>
    <w:rsid w:val="00D52D3A"/>
    <w:rsid w:val="00D70AEF"/>
    <w:rsid w:val="00D914ED"/>
    <w:rsid w:val="00D93057"/>
    <w:rsid w:val="00D95DF3"/>
    <w:rsid w:val="00DB496D"/>
    <w:rsid w:val="00DB6691"/>
    <w:rsid w:val="00DB66E2"/>
    <w:rsid w:val="00DC1244"/>
    <w:rsid w:val="00DC3790"/>
    <w:rsid w:val="00DD5060"/>
    <w:rsid w:val="00E0285C"/>
    <w:rsid w:val="00E035A8"/>
    <w:rsid w:val="00E053A2"/>
    <w:rsid w:val="00E12CAD"/>
    <w:rsid w:val="00E30C36"/>
    <w:rsid w:val="00E33B4D"/>
    <w:rsid w:val="00E40BA7"/>
    <w:rsid w:val="00E4772D"/>
    <w:rsid w:val="00E765F3"/>
    <w:rsid w:val="00E96BC1"/>
    <w:rsid w:val="00E9726A"/>
    <w:rsid w:val="00EA3648"/>
    <w:rsid w:val="00EA48FA"/>
    <w:rsid w:val="00EA515C"/>
    <w:rsid w:val="00EB124A"/>
    <w:rsid w:val="00EC0A48"/>
    <w:rsid w:val="00ED65A8"/>
    <w:rsid w:val="00EF2BBB"/>
    <w:rsid w:val="00F022C4"/>
    <w:rsid w:val="00F048B1"/>
    <w:rsid w:val="00F21926"/>
    <w:rsid w:val="00F2748B"/>
    <w:rsid w:val="00F3370E"/>
    <w:rsid w:val="00F35586"/>
    <w:rsid w:val="00F55193"/>
    <w:rsid w:val="00F57D74"/>
    <w:rsid w:val="00F63B60"/>
    <w:rsid w:val="00F640DA"/>
    <w:rsid w:val="00F769BE"/>
    <w:rsid w:val="00F85446"/>
    <w:rsid w:val="00F90B14"/>
    <w:rsid w:val="00F92104"/>
    <w:rsid w:val="00FC231D"/>
    <w:rsid w:val="00FD7E90"/>
    <w:rsid w:val="00FE30D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A9EF6"/>
  <w15:chartTrackingRefBased/>
  <w15:docId w15:val="{DB83D271-BF77-4809-91C5-D8C07ABF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B368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3680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press-release-pagesubtitle">
    <w:name w:val="press-release-page__subtitle"/>
    <w:basedOn w:val="Normale"/>
    <w:rsid w:val="00B36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B36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3680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368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5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519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F25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5B9"/>
  </w:style>
  <w:style w:type="paragraph" w:styleId="Pidipagina">
    <w:name w:val="footer"/>
    <w:basedOn w:val="Normale"/>
    <w:link w:val="PidipaginaCarattere"/>
    <w:uiPriority w:val="99"/>
    <w:unhideWhenUsed/>
    <w:rsid w:val="003F25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5B9"/>
  </w:style>
  <w:style w:type="character" w:styleId="Menzionenonrisolta">
    <w:name w:val="Unresolved Mention"/>
    <w:basedOn w:val="Carpredefinitoparagrafo"/>
    <w:uiPriority w:val="99"/>
    <w:semiHidden/>
    <w:unhideWhenUsed/>
    <w:rsid w:val="0027115D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EA48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6111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0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max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pinkommunication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ws.remax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emax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60B65-614B-49CD-A57C-A7243074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teruzzi</dc:creator>
  <cp:keywords/>
  <dc:description/>
  <cp:lastModifiedBy>Laura Premoli</cp:lastModifiedBy>
  <cp:revision>30</cp:revision>
  <cp:lastPrinted>2022-07-04T08:50:00Z</cp:lastPrinted>
  <dcterms:created xsi:type="dcterms:W3CDTF">2022-06-22T09:15:00Z</dcterms:created>
  <dcterms:modified xsi:type="dcterms:W3CDTF">2022-07-04T09:06:00Z</dcterms:modified>
</cp:coreProperties>
</file>