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EFA91" w14:textId="5235688C" w:rsidR="00254F59" w:rsidRPr="00D2484F" w:rsidRDefault="00530642">
      <w:pPr>
        <w:pBdr>
          <w:top w:val="nil"/>
          <w:left w:val="nil"/>
          <w:bottom w:val="nil"/>
          <w:right w:val="nil"/>
          <w:between w:val="nil"/>
        </w:pBdr>
        <w:spacing w:line="204" w:lineRule="auto"/>
        <w:ind w:right="1418"/>
        <w:rPr>
          <w:b/>
          <w:color w:val="003DA5"/>
          <w:sz w:val="44"/>
          <w:szCs w:val="44"/>
        </w:rPr>
      </w:pPr>
      <w:r w:rsidRPr="00D2484F">
        <w:rPr>
          <w:b/>
          <w:color w:val="003DA5"/>
          <w:sz w:val="44"/>
          <w:szCs w:val="44"/>
        </w:rPr>
        <w:t xml:space="preserve">Comunicato </w:t>
      </w:r>
    </w:p>
    <w:p w14:paraId="04DF5E47" w14:textId="65F8B559" w:rsidR="00254F59" w:rsidRPr="00D2484F" w:rsidRDefault="00530642">
      <w:pPr>
        <w:pBdr>
          <w:top w:val="nil"/>
          <w:left w:val="nil"/>
          <w:bottom w:val="nil"/>
          <w:right w:val="nil"/>
          <w:between w:val="nil"/>
        </w:pBdr>
        <w:spacing w:after="680" w:line="204" w:lineRule="auto"/>
        <w:ind w:right="1418"/>
        <w:rPr>
          <w:b/>
          <w:color w:val="DC1C2E"/>
          <w:sz w:val="44"/>
          <w:szCs w:val="44"/>
        </w:rPr>
      </w:pPr>
      <w:r w:rsidRPr="00D2484F">
        <w:rPr>
          <w:b/>
          <w:color w:val="DC1C2E"/>
          <w:sz w:val="44"/>
          <w:szCs w:val="44"/>
        </w:rPr>
        <w:t>Stampa</w:t>
      </w:r>
    </w:p>
    <w:p w14:paraId="5BEC5302" w14:textId="77777777" w:rsidR="00254F59" w:rsidRPr="0009059D" w:rsidRDefault="00254F59"/>
    <w:p w14:paraId="3020B628" w14:textId="4CDEE9F6" w:rsidR="00F86A19" w:rsidRPr="0009059D" w:rsidRDefault="000F2709" w:rsidP="0009059D">
      <w:pPr>
        <w:pBdr>
          <w:top w:val="nil"/>
          <w:left w:val="nil"/>
          <w:bottom w:val="nil"/>
          <w:right w:val="nil"/>
          <w:between w:val="nil"/>
        </w:pBdr>
        <w:spacing w:after="140" w:line="240" w:lineRule="auto"/>
        <w:rPr>
          <w:b/>
          <w:color w:val="DC1C2E"/>
          <w:sz w:val="30"/>
          <w:szCs w:val="30"/>
        </w:rPr>
      </w:pPr>
      <w:r>
        <w:rPr>
          <w:b/>
          <w:color w:val="DC1C2E"/>
          <w:sz w:val="30"/>
          <w:szCs w:val="30"/>
        </w:rPr>
        <w:t>Il cambiamento climatico</w:t>
      </w:r>
      <w:r w:rsidR="00F86A19" w:rsidRPr="0009059D">
        <w:rPr>
          <w:b/>
          <w:color w:val="DC1C2E"/>
          <w:sz w:val="30"/>
          <w:szCs w:val="30"/>
        </w:rPr>
        <w:t xml:space="preserve"> </w:t>
      </w:r>
      <w:r>
        <w:rPr>
          <w:b/>
          <w:color w:val="DC1C2E"/>
          <w:sz w:val="30"/>
          <w:szCs w:val="30"/>
        </w:rPr>
        <w:t xml:space="preserve">si riflette sulle scelte di chi </w:t>
      </w:r>
      <w:r w:rsidR="0043773F">
        <w:rPr>
          <w:b/>
          <w:color w:val="DC1C2E"/>
          <w:sz w:val="30"/>
          <w:szCs w:val="30"/>
        </w:rPr>
        <w:t>compra</w:t>
      </w:r>
      <w:r>
        <w:rPr>
          <w:b/>
          <w:color w:val="DC1C2E"/>
          <w:sz w:val="30"/>
          <w:szCs w:val="30"/>
        </w:rPr>
        <w:t xml:space="preserve"> casa</w:t>
      </w:r>
    </w:p>
    <w:p w14:paraId="71F8F9F7" w14:textId="401B5F6E" w:rsidR="00F86A19" w:rsidRPr="00D2484F" w:rsidRDefault="00971937" w:rsidP="0009059D">
      <w:pPr>
        <w:pBdr>
          <w:top w:val="nil"/>
          <w:left w:val="nil"/>
          <w:bottom w:val="nil"/>
          <w:right w:val="nil"/>
          <w:between w:val="nil"/>
        </w:pBdr>
        <w:spacing w:after="420" w:line="254" w:lineRule="auto"/>
        <w:rPr>
          <w:b/>
          <w:color w:val="003DA5"/>
          <w:sz w:val="22"/>
          <w:szCs w:val="22"/>
        </w:rPr>
      </w:pPr>
      <w:r>
        <w:rPr>
          <w:b/>
          <w:color w:val="003DA5"/>
          <w:sz w:val="22"/>
          <w:szCs w:val="22"/>
        </w:rPr>
        <w:t xml:space="preserve">Il primo </w:t>
      </w:r>
      <w:r w:rsidR="00ED253E">
        <w:rPr>
          <w:b/>
          <w:color w:val="003DA5"/>
          <w:sz w:val="22"/>
          <w:szCs w:val="22"/>
        </w:rPr>
        <w:t>‘</w:t>
      </w:r>
      <w:r w:rsidR="00F25ED5" w:rsidRPr="00F25ED5">
        <w:rPr>
          <w:b/>
          <w:color w:val="003DA5"/>
          <w:sz w:val="22"/>
          <w:szCs w:val="22"/>
        </w:rPr>
        <w:t>Rapporto sull'andamento dell'edilizia residenziale europea</w:t>
      </w:r>
      <w:r w:rsidR="00ED253E">
        <w:rPr>
          <w:b/>
          <w:color w:val="003DA5"/>
          <w:sz w:val="22"/>
          <w:szCs w:val="22"/>
        </w:rPr>
        <w:t>’</w:t>
      </w:r>
      <w:r w:rsidR="00D43A64" w:rsidRPr="00D2484F">
        <w:rPr>
          <w:b/>
          <w:color w:val="003DA5"/>
          <w:sz w:val="22"/>
          <w:szCs w:val="22"/>
        </w:rPr>
        <w:t xml:space="preserve"> </w:t>
      </w:r>
      <w:r w:rsidR="004E4DE8" w:rsidRPr="00D2484F">
        <w:rPr>
          <w:b/>
          <w:color w:val="003DA5"/>
          <w:sz w:val="22"/>
          <w:szCs w:val="22"/>
        </w:rPr>
        <w:t>condott</w:t>
      </w:r>
      <w:r>
        <w:rPr>
          <w:b/>
          <w:color w:val="003DA5"/>
          <w:sz w:val="22"/>
          <w:szCs w:val="22"/>
        </w:rPr>
        <w:t>o</w:t>
      </w:r>
      <w:r w:rsidR="004E4DE8" w:rsidRPr="00D2484F">
        <w:rPr>
          <w:b/>
          <w:color w:val="003DA5"/>
          <w:sz w:val="22"/>
          <w:szCs w:val="22"/>
        </w:rPr>
        <w:t xml:space="preserve"> </w:t>
      </w:r>
      <w:r w:rsidR="00F86A19" w:rsidRPr="00D2484F">
        <w:rPr>
          <w:b/>
          <w:color w:val="003DA5"/>
          <w:sz w:val="22"/>
          <w:szCs w:val="22"/>
        </w:rPr>
        <w:t xml:space="preserve">da RE/MAX Europe </w:t>
      </w:r>
      <w:r w:rsidR="00ED253E">
        <w:rPr>
          <w:b/>
          <w:color w:val="003DA5"/>
          <w:sz w:val="22"/>
          <w:szCs w:val="22"/>
        </w:rPr>
        <w:t>intervistando</w:t>
      </w:r>
      <w:r w:rsidR="00F86A19" w:rsidRPr="00D2484F">
        <w:rPr>
          <w:b/>
          <w:color w:val="003DA5"/>
          <w:sz w:val="22"/>
          <w:szCs w:val="22"/>
        </w:rPr>
        <w:t xml:space="preserve"> </w:t>
      </w:r>
      <w:r w:rsidR="004E4DE8">
        <w:rPr>
          <w:b/>
          <w:color w:val="003DA5"/>
          <w:sz w:val="22"/>
          <w:szCs w:val="22"/>
        </w:rPr>
        <w:t>circa</w:t>
      </w:r>
      <w:r w:rsidR="00302F6F">
        <w:rPr>
          <w:b/>
          <w:color w:val="003DA5"/>
          <w:sz w:val="22"/>
          <w:szCs w:val="22"/>
        </w:rPr>
        <w:t xml:space="preserve"> </w:t>
      </w:r>
      <w:r w:rsidR="00F86A19" w:rsidRPr="00D2484F">
        <w:rPr>
          <w:b/>
          <w:color w:val="003DA5"/>
          <w:sz w:val="22"/>
          <w:szCs w:val="22"/>
        </w:rPr>
        <w:t xml:space="preserve">16.000 consumatori europei in 22 Paesi </w:t>
      </w:r>
      <w:r w:rsidR="00153CAF">
        <w:rPr>
          <w:b/>
          <w:color w:val="003DA5"/>
          <w:sz w:val="22"/>
          <w:szCs w:val="22"/>
        </w:rPr>
        <w:t xml:space="preserve">rivela una predisposizione a </w:t>
      </w:r>
      <w:r w:rsidR="00ED253E">
        <w:rPr>
          <w:b/>
          <w:color w:val="003DA5"/>
          <w:sz w:val="22"/>
          <w:szCs w:val="22"/>
        </w:rPr>
        <w:t xml:space="preserve">orientare </w:t>
      </w:r>
      <w:r w:rsidR="00153CAF">
        <w:rPr>
          <w:b/>
          <w:color w:val="003DA5"/>
          <w:sz w:val="22"/>
          <w:szCs w:val="22"/>
        </w:rPr>
        <w:t xml:space="preserve">le </w:t>
      </w:r>
      <w:r w:rsidR="00530642">
        <w:rPr>
          <w:b/>
          <w:color w:val="003DA5"/>
          <w:sz w:val="22"/>
          <w:szCs w:val="22"/>
        </w:rPr>
        <w:t xml:space="preserve">proprie </w:t>
      </w:r>
      <w:r w:rsidR="00153CAF">
        <w:rPr>
          <w:b/>
          <w:color w:val="003DA5"/>
          <w:sz w:val="22"/>
          <w:szCs w:val="22"/>
        </w:rPr>
        <w:t>scelte abitative</w:t>
      </w:r>
      <w:r w:rsidR="00F86A19" w:rsidRPr="00D2484F">
        <w:rPr>
          <w:b/>
          <w:color w:val="003DA5"/>
          <w:sz w:val="22"/>
          <w:szCs w:val="22"/>
        </w:rPr>
        <w:t xml:space="preserve"> </w:t>
      </w:r>
      <w:r w:rsidR="00ED253E">
        <w:rPr>
          <w:b/>
          <w:color w:val="003DA5"/>
          <w:sz w:val="22"/>
          <w:szCs w:val="22"/>
        </w:rPr>
        <w:t>in ottica di sostenibilità</w:t>
      </w:r>
      <w:r w:rsidR="00F86A19" w:rsidRPr="00D2484F">
        <w:rPr>
          <w:b/>
          <w:color w:val="003DA5"/>
          <w:sz w:val="22"/>
          <w:szCs w:val="22"/>
        </w:rPr>
        <w:t xml:space="preserve"> </w:t>
      </w:r>
      <w:r w:rsidR="00ED253E">
        <w:rPr>
          <w:b/>
          <w:color w:val="003DA5"/>
          <w:sz w:val="22"/>
          <w:szCs w:val="22"/>
        </w:rPr>
        <w:t>ambientale</w:t>
      </w:r>
      <w:r w:rsidR="00F86A19" w:rsidRPr="00D2484F">
        <w:rPr>
          <w:b/>
          <w:color w:val="003DA5"/>
          <w:sz w:val="22"/>
          <w:szCs w:val="22"/>
        </w:rPr>
        <w:t>.</w:t>
      </w:r>
    </w:p>
    <w:p w14:paraId="779A65F9" w14:textId="5BB7AFA8" w:rsidR="00F86A19" w:rsidRPr="008D60B2" w:rsidRDefault="00F86A19" w:rsidP="006E7369">
      <w:pPr>
        <w:jc w:val="both"/>
      </w:pPr>
      <w:r w:rsidRPr="008D60B2">
        <w:rPr>
          <w:b/>
          <w:bCs/>
        </w:rPr>
        <w:t>Più di due terzi degli europei sono disposti a scendere a compromessi sulla loro futura casa per il bene dell'ambiente.</w:t>
      </w:r>
      <w:r w:rsidRPr="008D60B2">
        <w:t xml:space="preserve"> </w:t>
      </w:r>
      <w:r w:rsidR="00153CAF" w:rsidRPr="008D60B2">
        <w:t xml:space="preserve">A seguito del cambiamento climatico e </w:t>
      </w:r>
      <w:r w:rsidR="00530642" w:rsidRPr="008D60B2">
        <w:t>de</w:t>
      </w:r>
      <w:r w:rsidR="00153CAF" w:rsidRPr="008D60B2">
        <w:t xml:space="preserve">i derivanti eventi atmosferici eccezionali che si stanno verificando in </w:t>
      </w:r>
      <w:r w:rsidRPr="008D60B2">
        <w:t xml:space="preserve">Europa, </w:t>
      </w:r>
      <w:r w:rsidR="00153CAF" w:rsidRPr="008D60B2">
        <w:t>il leader</w:t>
      </w:r>
      <w:r w:rsidR="00530642" w:rsidRPr="008D60B2">
        <w:t xml:space="preserve"> del</w:t>
      </w:r>
      <w:r w:rsidR="00153CAF" w:rsidRPr="008D60B2">
        <w:t xml:space="preserve"> franchising immobiliare</w:t>
      </w:r>
      <w:r w:rsidRPr="008D60B2">
        <w:t xml:space="preserve"> RE/MAX </w:t>
      </w:r>
      <w:r w:rsidR="00153CAF" w:rsidRPr="008D60B2">
        <w:t xml:space="preserve">ha effettuato una ricerca che traccia una dettagliata </w:t>
      </w:r>
      <w:r w:rsidR="00153CAF" w:rsidRPr="008D60B2">
        <w:rPr>
          <w:b/>
          <w:bCs/>
        </w:rPr>
        <w:t xml:space="preserve">fotografia di come le valutazioni </w:t>
      </w:r>
      <w:r w:rsidRPr="008D60B2">
        <w:rPr>
          <w:b/>
          <w:bCs/>
        </w:rPr>
        <w:t xml:space="preserve">ambientali </w:t>
      </w:r>
      <w:r w:rsidR="00153CAF" w:rsidRPr="008D60B2">
        <w:rPr>
          <w:b/>
          <w:bCs/>
        </w:rPr>
        <w:t>abbiano ricadute sulle scelte immobiliari</w:t>
      </w:r>
      <w:r w:rsidRPr="008D60B2">
        <w:t>.</w:t>
      </w:r>
      <w:r w:rsidR="00153CAF" w:rsidRPr="008D60B2">
        <w:t xml:space="preserve"> </w:t>
      </w:r>
    </w:p>
    <w:p w14:paraId="7946FB5D" w14:textId="77777777" w:rsidR="00F86A19" w:rsidRPr="008D60B2" w:rsidRDefault="00F86A19" w:rsidP="006E7369">
      <w:pPr>
        <w:jc w:val="both"/>
      </w:pPr>
    </w:p>
    <w:p w14:paraId="33260D01" w14:textId="0E024066" w:rsidR="00F86A19" w:rsidRPr="008D60B2" w:rsidRDefault="00153CAF" w:rsidP="006E7369">
      <w:pPr>
        <w:jc w:val="both"/>
      </w:pPr>
      <w:r w:rsidRPr="008D60B2">
        <w:t xml:space="preserve">Questi risultati sono frutto </w:t>
      </w:r>
      <w:r w:rsidR="00573349" w:rsidRPr="008D60B2">
        <w:t xml:space="preserve">del primo </w:t>
      </w:r>
      <w:r w:rsidR="00ED253E" w:rsidRPr="008D60B2">
        <w:t>‘</w:t>
      </w:r>
      <w:r w:rsidR="00F25ED5" w:rsidRPr="008D60B2">
        <w:t>Rapporto sull'andamento dell'edilizia residenziale europea</w:t>
      </w:r>
      <w:r w:rsidR="00ED253E" w:rsidRPr="008D60B2">
        <w:t>’</w:t>
      </w:r>
      <w:r w:rsidRPr="008D60B2">
        <w:t xml:space="preserve"> </w:t>
      </w:r>
      <w:r w:rsidR="00573349" w:rsidRPr="008D60B2">
        <w:t xml:space="preserve">condotto </w:t>
      </w:r>
      <w:r w:rsidRPr="008D60B2">
        <w:t xml:space="preserve">da </w:t>
      </w:r>
      <w:r w:rsidR="00F86A19" w:rsidRPr="008D60B2">
        <w:t xml:space="preserve">RE/MAX Europe </w:t>
      </w:r>
      <w:r w:rsidRPr="008D60B2">
        <w:t xml:space="preserve">affidandosi alla </w:t>
      </w:r>
      <w:r w:rsidR="00F86A19" w:rsidRPr="008D60B2">
        <w:t xml:space="preserve">società Kantar </w:t>
      </w:r>
      <w:r w:rsidR="00530642" w:rsidRPr="008D60B2">
        <w:t xml:space="preserve">che </w:t>
      </w:r>
      <w:r w:rsidR="00F86A19" w:rsidRPr="008D60B2">
        <w:t xml:space="preserve">ha </w:t>
      </w:r>
      <w:r w:rsidRPr="008D60B2">
        <w:t>intervistato un panel di circa</w:t>
      </w:r>
      <w:r w:rsidR="00F86A19" w:rsidRPr="008D60B2">
        <w:t xml:space="preserve"> 16.000 consumatori europei</w:t>
      </w:r>
      <w:r w:rsidRPr="008D60B2">
        <w:t xml:space="preserve">. </w:t>
      </w:r>
      <w:r w:rsidR="00530642" w:rsidRPr="008D60B2">
        <w:t>Ai partecipanti</w:t>
      </w:r>
      <w:r w:rsidRPr="008D60B2">
        <w:t xml:space="preserve"> è stato chiesto se siano disposti a sacrificare alcuni comfort abitativi a favore di una </w:t>
      </w:r>
      <w:r w:rsidRPr="008D60B2">
        <w:rPr>
          <w:b/>
          <w:bCs/>
        </w:rPr>
        <w:t>casa più eco-friendly</w:t>
      </w:r>
      <w:r w:rsidR="00F86A19" w:rsidRPr="008D60B2">
        <w:t>,</w:t>
      </w:r>
      <w:r w:rsidR="00D43A64" w:rsidRPr="008D60B2">
        <w:t xml:space="preserve"> come ad esempio</w:t>
      </w:r>
      <w:r w:rsidR="00F86A19" w:rsidRPr="008D60B2">
        <w:t xml:space="preserve"> </w:t>
      </w:r>
      <w:r w:rsidR="00D43A64" w:rsidRPr="008D60B2">
        <w:t>avere</w:t>
      </w:r>
      <w:r w:rsidR="00F86A19" w:rsidRPr="008D60B2">
        <w:t xml:space="preserve"> un giardino più piccolo</w:t>
      </w:r>
      <w:r w:rsidRPr="008D60B2">
        <w:t>, un’ubicazione logisticamente più scomoda o strutture scolastiche meno organizzate</w:t>
      </w:r>
      <w:r w:rsidR="00F86A19" w:rsidRPr="008D60B2">
        <w:t>.</w:t>
      </w:r>
    </w:p>
    <w:p w14:paraId="55CDC0B2" w14:textId="77777777" w:rsidR="00F86A19" w:rsidRPr="008D60B2" w:rsidRDefault="00F86A19" w:rsidP="006E7369">
      <w:pPr>
        <w:jc w:val="both"/>
      </w:pPr>
    </w:p>
    <w:p w14:paraId="516644A1" w14:textId="354228FE" w:rsidR="00F86A19" w:rsidRPr="008D60B2" w:rsidRDefault="00D43A64" w:rsidP="006E7369">
      <w:pPr>
        <w:jc w:val="both"/>
      </w:pPr>
      <w:r w:rsidRPr="008D60B2">
        <w:t xml:space="preserve">Dalla ricerca condotta da RE/MAX è </w:t>
      </w:r>
      <w:r w:rsidR="00F86A19" w:rsidRPr="008D60B2">
        <w:t xml:space="preserve">emerso che il </w:t>
      </w:r>
      <w:r w:rsidR="00F86A19" w:rsidRPr="008D60B2">
        <w:rPr>
          <w:b/>
          <w:bCs/>
        </w:rPr>
        <w:t>6</w:t>
      </w:r>
      <w:r w:rsidRPr="008D60B2">
        <w:rPr>
          <w:b/>
          <w:bCs/>
        </w:rPr>
        <w:t>4</w:t>
      </w:r>
      <w:r w:rsidR="00F86A19" w:rsidRPr="008D60B2">
        <w:rPr>
          <w:b/>
          <w:bCs/>
        </w:rPr>
        <w:t xml:space="preserve">% degli </w:t>
      </w:r>
      <w:r w:rsidRPr="008D60B2">
        <w:rPr>
          <w:b/>
          <w:bCs/>
        </w:rPr>
        <w:t xml:space="preserve">italiani intervistati </w:t>
      </w:r>
      <w:r w:rsidR="00F86A19" w:rsidRPr="008D60B2">
        <w:rPr>
          <w:b/>
          <w:bCs/>
        </w:rPr>
        <w:t xml:space="preserve">è disposto ad adattare le proprie esigenze immobiliari a </w:t>
      </w:r>
      <w:r w:rsidR="00ED253E" w:rsidRPr="008D60B2">
        <w:rPr>
          <w:b/>
          <w:bCs/>
        </w:rPr>
        <w:t>favore</w:t>
      </w:r>
      <w:r w:rsidR="00F86A19" w:rsidRPr="008D60B2">
        <w:rPr>
          <w:b/>
          <w:bCs/>
        </w:rPr>
        <w:t xml:space="preserve"> dell'ambiente</w:t>
      </w:r>
      <w:r w:rsidRPr="008D60B2">
        <w:t xml:space="preserve">; un dato che si attesta </w:t>
      </w:r>
      <w:r w:rsidR="00F86A19" w:rsidRPr="008D60B2">
        <w:t xml:space="preserve">leggermente al di sotto della media europea </w:t>
      </w:r>
      <w:r w:rsidR="00D1476C" w:rsidRPr="008D60B2">
        <w:t>pari al</w:t>
      </w:r>
      <w:r w:rsidR="00530642" w:rsidRPr="008D60B2">
        <w:t xml:space="preserve"> </w:t>
      </w:r>
      <w:r w:rsidR="00F86A19" w:rsidRPr="008D60B2">
        <w:t>68%.</w:t>
      </w:r>
    </w:p>
    <w:p w14:paraId="5B63B7C4" w14:textId="77777777" w:rsidR="00F86A19" w:rsidRPr="008D60B2" w:rsidRDefault="00F86A19" w:rsidP="006E7369">
      <w:pPr>
        <w:jc w:val="both"/>
      </w:pPr>
    </w:p>
    <w:p w14:paraId="1B8DCDE5" w14:textId="4592091E" w:rsidR="00F86A19" w:rsidRPr="008D60B2" w:rsidRDefault="00F86A19" w:rsidP="006E7369">
      <w:pPr>
        <w:jc w:val="both"/>
      </w:pPr>
      <w:r w:rsidRPr="008D60B2">
        <w:t>"</w:t>
      </w:r>
      <w:r w:rsidRPr="008D60B2">
        <w:rPr>
          <w:i/>
          <w:iCs/>
        </w:rPr>
        <w:t xml:space="preserve">La ricerca mostra che gli acquirenti di case </w:t>
      </w:r>
      <w:r w:rsidR="008D7061" w:rsidRPr="008D60B2">
        <w:rPr>
          <w:i/>
          <w:iCs/>
        </w:rPr>
        <w:t>vorrebbero</w:t>
      </w:r>
      <w:r w:rsidRPr="008D60B2">
        <w:rPr>
          <w:i/>
          <w:iCs/>
        </w:rPr>
        <w:t xml:space="preserve"> ridurre l'impatto della </w:t>
      </w:r>
      <w:r w:rsidR="008D7061" w:rsidRPr="008D60B2">
        <w:rPr>
          <w:i/>
          <w:iCs/>
        </w:rPr>
        <w:t xml:space="preserve">propria </w:t>
      </w:r>
      <w:r w:rsidRPr="008D60B2">
        <w:rPr>
          <w:i/>
          <w:iCs/>
        </w:rPr>
        <w:t xml:space="preserve">abitazione sull'ambiente, ma spesso non sanno come fare. </w:t>
      </w:r>
      <w:r w:rsidR="008D7061" w:rsidRPr="008D60B2">
        <w:rPr>
          <w:b/>
          <w:bCs/>
          <w:i/>
          <w:iCs/>
        </w:rPr>
        <w:t xml:space="preserve">La casa </w:t>
      </w:r>
      <w:r w:rsidRPr="008D60B2">
        <w:rPr>
          <w:b/>
          <w:bCs/>
          <w:i/>
          <w:iCs/>
        </w:rPr>
        <w:t xml:space="preserve">rappresenta una parte importante dell'impronta </w:t>
      </w:r>
      <w:r w:rsidR="008D7061" w:rsidRPr="008D60B2">
        <w:rPr>
          <w:b/>
          <w:bCs/>
          <w:i/>
          <w:iCs/>
        </w:rPr>
        <w:t>ecologica</w:t>
      </w:r>
      <w:r w:rsidRPr="008D60B2">
        <w:rPr>
          <w:b/>
          <w:bCs/>
          <w:i/>
          <w:iCs/>
        </w:rPr>
        <w:t xml:space="preserve"> di un individuo</w:t>
      </w:r>
      <w:r w:rsidRPr="008D60B2">
        <w:rPr>
          <w:i/>
          <w:iCs/>
        </w:rPr>
        <w:t xml:space="preserve"> e gli </w:t>
      </w:r>
      <w:r w:rsidR="008D7061" w:rsidRPr="008D60B2">
        <w:rPr>
          <w:i/>
          <w:iCs/>
        </w:rPr>
        <w:t>agenti immobiliari</w:t>
      </w:r>
      <w:r w:rsidRPr="008D60B2">
        <w:rPr>
          <w:i/>
          <w:iCs/>
        </w:rPr>
        <w:t xml:space="preserve"> </w:t>
      </w:r>
      <w:r w:rsidR="00530642" w:rsidRPr="008D60B2">
        <w:rPr>
          <w:i/>
          <w:iCs/>
        </w:rPr>
        <w:t>svolgono</w:t>
      </w:r>
      <w:r w:rsidR="008D7061" w:rsidRPr="008D60B2">
        <w:rPr>
          <w:i/>
          <w:iCs/>
        </w:rPr>
        <w:t xml:space="preserve"> </w:t>
      </w:r>
      <w:r w:rsidRPr="008D60B2">
        <w:rPr>
          <w:i/>
          <w:iCs/>
        </w:rPr>
        <w:t xml:space="preserve">un </w:t>
      </w:r>
      <w:r w:rsidR="00ED253E" w:rsidRPr="008D60B2">
        <w:rPr>
          <w:i/>
          <w:iCs/>
        </w:rPr>
        <w:t xml:space="preserve">ruolo fondamentale </w:t>
      </w:r>
      <w:r w:rsidRPr="008D60B2">
        <w:rPr>
          <w:i/>
          <w:iCs/>
        </w:rPr>
        <w:t xml:space="preserve">nell'aiutare </w:t>
      </w:r>
      <w:r w:rsidR="008D7061" w:rsidRPr="008D60B2">
        <w:rPr>
          <w:i/>
          <w:iCs/>
        </w:rPr>
        <w:t>i compratori a riconoscere</w:t>
      </w:r>
      <w:r w:rsidRPr="008D60B2">
        <w:rPr>
          <w:i/>
          <w:iCs/>
        </w:rPr>
        <w:t xml:space="preserve"> </w:t>
      </w:r>
      <w:r w:rsidR="008D7061" w:rsidRPr="008D60B2">
        <w:rPr>
          <w:i/>
          <w:iCs/>
        </w:rPr>
        <w:t>i requisiti</w:t>
      </w:r>
      <w:r w:rsidRPr="008D60B2">
        <w:rPr>
          <w:i/>
          <w:iCs/>
        </w:rPr>
        <w:t xml:space="preserve"> </w:t>
      </w:r>
      <w:r w:rsidR="008D7061" w:rsidRPr="008D60B2">
        <w:rPr>
          <w:i/>
          <w:iCs/>
        </w:rPr>
        <w:t xml:space="preserve">di ecosostenibilità </w:t>
      </w:r>
      <w:r w:rsidRPr="008D60B2">
        <w:rPr>
          <w:i/>
          <w:iCs/>
        </w:rPr>
        <w:t xml:space="preserve">della loro futura </w:t>
      </w:r>
      <w:r w:rsidR="008D7061" w:rsidRPr="008D60B2">
        <w:rPr>
          <w:i/>
          <w:iCs/>
        </w:rPr>
        <w:t>abitazione</w:t>
      </w:r>
      <w:r w:rsidRPr="008D60B2">
        <w:t xml:space="preserve">", ha commentato </w:t>
      </w:r>
      <w:r w:rsidR="00D1476C" w:rsidRPr="008D60B2">
        <w:rPr>
          <w:b/>
          <w:bCs/>
        </w:rPr>
        <w:t>Dario Castiglia</w:t>
      </w:r>
      <w:r w:rsidRPr="008D60B2">
        <w:rPr>
          <w:b/>
          <w:bCs/>
        </w:rPr>
        <w:t xml:space="preserve">, CEO </w:t>
      </w:r>
      <w:r w:rsidR="00D1476C" w:rsidRPr="008D60B2">
        <w:rPr>
          <w:b/>
          <w:bCs/>
        </w:rPr>
        <w:t xml:space="preserve">&amp; Founder </w:t>
      </w:r>
      <w:r w:rsidRPr="008D60B2">
        <w:rPr>
          <w:b/>
          <w:bCs/>
        </w:rPr>
        <w:t xml:space="preserve">di </w:t>
      </w:r>
      <w:hyperlink r:id="rId7" w:history="1">
        <w:r w:rsidRPr="004C7685">
          <w:rPr>
            <w:rStyle w:val="Collegamentoipertestuale"/>
            <w:b/>
            <w:bCs/>
          </w:rPr>
          <w:t xml:space="preserve">RE/MAX </w:t>
        </w:r>
        <w:r w:rsidR="00D1476C" w:rsidRPr="004C7685">
          <w:rPr>
            <w:rStyle w:val="Collegamentoipertestuale"/>
            <w:b/>
            <w:bCs/>
          </w:rPr>
          <w:t>Italia</w:t>
        </w:r>
      </w:hyperlink>
      <w:r w:rsidRPr="008D60B2">
        <w:t xml:space="preserve">. </w:t>
      </w:r>
    </w:p>
    <w:p w14:paraId="2A208F0D" w14:textId="77777777" w:rsidR="00F86A19" w:rsidRPr="008D60B2" w:rsidRDefault="00F86A19" w:rsidP="006E7369">
      <w:pPr>
        <w:jc w:val="both"/>
      </w:pPr>
    </w:p>
    <w:p w14:paraId="2C0DE1E9" w14:textId="59575165" w:rsidR="00F86A19" w:rsidRPr="008D60B2" w:rsidRDefault="001C70CB" w:rsidP="006E7369">
      <w:pPr>
        <w:jc w:val="both"/>
        <w:rPr>
          <w:b/>
          <w:color w:val="003DA5"/>
          <w:sz w:val="22"/>
          <w:szCs w:val="22"/>
        </w:rPr>
      </w:pPr>
      <w:r w:rsidRPr="008D60B2">
        <w:rPr>
          <w:b/>
          <w:color w:val="003DA5"/>
          <w:sz w:val="22"/>
          <w:szCs w:val="22"/>
        </w:rPr>
        <w:t>Spazi più piccoli a favore dell’ambiente</w:t>
      </w:r>
    </w:p>
    <w:p w14:paraId="2BA0829C" w14:textId="09064A5D" w:rsidR="00F86A19" w:rsidRPr="00F86A19" w:rsidRDefault="00F86A19" w:rsidP="006E7369">
      <w:pPr>
        <w:jc w:val="both"/>
      </w:pPr>
      <w:r w:rsidRPr="008D60B2">
        <w:t xml:space="preserve">In </w:t>
      </w:r>
      <w:r w:rsidR="009457A8" w:rsidRPr="008D60B2">
        <w:t>Italia</w:t>
      </w:r>
      <w:r w:rsidRPr="008D60B2">
        <w:t xml:space="preserve"> </w:t>
      </w:r>
      <w:r w:rsidR="009457A8" w:rsidRPr="008D60B2">
        <w:t>oltre il 50% degli intervistati</w:t>
      </w:r>
      <w:r w:rsidRPr="008D60B2">
        <w:t xml:space="preserve"> </w:t>
      </w:r>
      <w:r w:rsidR="00530642" w:rsidRPr="008D60B2">
        <w:t xml:space="preserve">si dichiara </w:t>
      </w:r>
      <w:r w:rsidRPr="008D60B2">
        <w:t>più propenso a trasferirsi rispetto a un anno fa</w:t>
      </w:r>
      <w:r w:rsidR="00530642" w:rsidRPr="008D60B2">
        <w:t xml:space="preserve"> e m</w:t>
      </w:r>
      <w:r w:rsidRPr="008D60B2">
        <w:t xml:space="preserve">olti cercano </w:t>
      </w:r>
      <w:r w:rsidR="00423EF8" w:rsidRPr="008D60B2">
        <w:t>case più grandi</w:t>
      </w:r>
      <w:r w:rsidRPr="008D60B2">
        <w:t xml:space="preserve"> (</w:t>
      </w:r>
      <w:r w:rsidR="009457A8" w:rsidRPr="008D60B2">
        <w:t>25,8</w:t>
      </w:r>
      <w:r w:rsidRPr="008D60B2">
        <w:t xml:space="preserve">%). Tuttavia, </w:t>
      </w:r>
      <w:r w:rsidR="009457A8" w:rsidRPr="008D60B2">
        <w:t xml:space="preserve">oltre </w:t>
      </w:r>
      <w:r w:rsidRPr="008D60B2">
        <w:t xml:space="preserve">il 28% degli </w:t>
      </w:r>
      <w:r w:rsidR="009457A8" w:rsidRPr="008D60B2">
        <w:t xml:space="preserve">italiani sarebbe </w:t>
      </w:r>
      <w:r w:rsidR="00423EF8" w:rsidRPr="008D60B2">
        <w:t>favorevol</w:t>
      </w:r>
      <w:r w:rsidR="006E7369" w:rsidRPr="008D60B2">
        <w:t xml:space="preserve">e </w:t>
      </w:r>
      <w:r w:rsidR="009457A8" w:rsidRPr="008D60B2">
        <w:t>a</w:t>
      </w:r>
      <w:r w:rsidRPr="008D60B2">
        <w:t xml:space="preserve"> </w:t>
      </w:r>
      <w:r w:rsidR="009457A8" w:rsidRPr="008D60B2">
        <w:t>scegliere una casa di minori dimensioni, purché più</w:t>
      </w:r>
      <w:r w:rsidRPr="008D60B2">
        <w:t xml:space="preserve"> ecologica. </w:t>
      </w:r>
      <w:r w:rsidR="009457A8" w:rsidRPr="008D60B2">
        <w:t xml:space="preserve">Numerosi anche </w:t>
      </w:r>
      <w:r w:rsidR="00423EF8" w:rsidRPr="008D60B2">
        <w:t>quelli</w:t>
      </w:r>
      <w:r w:rsidR="009457A8" w:rsidRPr="008D60B2">
        <w:t xml:space="preserve"> disposti ad avere </w:t>
      </w:r>
      <w:r w:rsidRPr="008D60B2">
        <w:t>un giardino più piccolo (</w:t>
      </w:r>
      <w:r w:rsidR="009457A8" w:rsidRPr="008D60B2">
        <w:t>18,6</w:t>
      </w:r>
      <w:r w:rsidRPr="008D60B2">
        <w:t xml:space="preserve">%), </w:t>
      </w:r>
      <w:r w:rsidR="006D5E96" w:rsidRPr="008D60B2">
        <w:t>tempi di pendolarismo più lunghi</w:t>
      </w:r>
      <w:r w:rsidRPr="008D60B2">
        <w:t xml:space="preserve"> (</w:t>
      </w:r>
      <w:r w:rsidR="009457A8" w:rsidRPr="008D60B2">
        <w:t>18,5</w:t>
      </w:r>
      <w:r w:rsidRPr="008D60B2">
        <w:t xml:space="preserve">%) o una posizione meno </w:t>
      </w:r>
      <w:r w:rsidR="006D5E96" w:rsidRPr="008D60B2">
        <w:t xml:space="preserve">desiderabile </w:t>
      </w:r>
      <w:r w:rsidRPr="008D60B2">
        <w:t>(</w:t>
      </w:r>
      <w:r w:rsidR="009457A8" w:rsidRPr="008D60B2">
        <w:t>14,6</w:t>
      </w:r>
      <w:r w:rsidRPr="008D60B2">
        <w:t xml:space="preserve">%) se ciò significa aiutare il pianeta. Tuttavia, solo il </w:t>
      </w:r>
      <w:r w:rsidR="009457A8" w:rsidRPr="008D60B2">
        <w:t>2,7</w:t>
      </w:r>
      <w:r w:rsidRPr="008D60B2">
        <w:t xml:space="preserve">% </w:t>
      </w:r>
      <w:r w:rsidR="00423EF8" w:rsidRPr="008D60B2">
        <w:t>scenderebbe</w:t>
      </w:r>
      <w:r w:rsidRPr="008D60B2">
        <w:t xml:space="preserve"> a compromessi sulle opportunità di istruzione per sé e per i propri figli.</w:t>
      </w:r>
    </w:p>
    <w:p w14:paraId="47BF61C7" w14:textId="77777777" w:rsidR="00F86A19" w:rsidRPr="00F86A19" w:rsidRDefault="00F86A19" w:rsidP="006E7369">
      <w:pPr>
        <w:jc w:val="both"/>
      </w:pPr>
    </w:p>
    <w:p w14:paraId="1416F799" w14:textId="467C36F8" w:rsidR="00F86A19" w:rsidRPr="00D2484F" w:rsidRDefault="00F86A19" w:rsidP="006E7369">
      <w:pPr>
        <w:pBdr>
          <w:top w:val="nil"/>
          <w:left w:val="nil"/>
          <w:bottom w:val="nil"/>
          <w:right w:val="nil"/>
          <w:between w:val="nil"/>
        </w:pBdr>
        <w:spacing w:line="254" w:lineRule="auto"/>
        <w:jc w:val="both"/>
        <w:rPr>
          <w:b/>
          <w:color w:val="003DA5"/>
          <w:sz w:val="22"/>
          <w:szCs w:val="22"/>
        </w:rPr>
      </w:pPr>
      <w:r w:rsidRPr="00D2484F">
        <w:rPr>
          <w:b/>
          <w:color w:val="003DA5"/>
          <w:sz w:val="22"/>
          <w:szCs w:val="22"/>
        </w:rPr>
        <w:t xml:space="preserve">Differenze generazionali </w:t>
      </w:r>
    </w:p>
    <w:p w14:paraId="0FCF97FF" w14:textId="1AF13B45" w:rsidR="00F86A19" w:rsidRDefault="00FA289B" w:rsidP="00595112">
      <w:pPr>
        <w:jc w:val="both"/>
      </w:pPr>
      <w:r>
        <w:t>Dal Rapporto di RE/MAX Europe emerge però che n</w:t>
      </w:r>
      <w:r w:rsidR="00F86A19" w:rsidRPr="00F86A19">
        <w:t>on si tratta di una visione univoca</w:t>
      </w:r>
      <w:r w:rsidR="001C70CB">
        <w:t>;</w:t>
      </w:r>
      <w:r w:rsidR="001C70CB" w:rsidRPr="00F86A19">
        <w:t xml:space="preserve"> </w:t>
      </w:r>
      <w:r w:rsidR="00F86A19" w:rsidRPr="00FA289B">
        <w:rPr>
          <w:b/>
          <w:bCs/>
        </w:rPr>
        <w:t xml:space="preserve">ci sono differenze significative tra </w:t>
      </w:r>
      <w:r w:rsidR="001C70CB" w:rsidRPr="00FA289B">
        <w:rPr>
          <w:b/>
          <w:bCs/>
        </w:rPr>
        <w:t>le fasce d‘</w:t>
      </w:r>
      <w:r w:rsidR="00F86A19" w:rsidRPr="00FA289B">
        <w:rPr>
          <w:b/>
          <w:bCs/>
        </w:rPr>
        <w:t xml:space="preserve">età in termini di compromessi </w:t>
      </w:r>
      <w:r w:rsidR="001C70CB" w:rsidRPr="00FA289B">
        <w:rPr>
          <w:b/>
          <w:bCs/>
        </w:rPr>
        <w:t>accettabili</w:t>
      </w:r>
      <w:r w:rsidR="00F86A19" w:rsidRPr="00FA289B">
        <w:rPr>
          <w:b/>
          <w:bCs/>
        </w:rPr>
        <w:t xml:space="preserve"> che </w:t>
      </w:r>
      <w:r w:rsidR="001C70CB" w:rsidRPr="00FA289B">
        <w:rPr>
          <w:b/>
          <w:bCs/>
        </w:rPr>
        <w:t xml:space="preserve">riflettono </w:t>
      </w:r>
      <w:r w:rsidR="00F86A19" w:rsidRPr="00FA289B">
        <w:rPr>
          <w:b/>
          <w:bCs/>
        </w:rPr>
        <w:t xml:space="preserve">priorità </w:t>
      </w:r>
      <w:r w:rsidR="001C70CB" w:rsidRPr="00FA289B">
        <w:rPr>
          <w:b/>
          <w:bCs/>
        </w:rPr>
        <w:t>diverse</w:t>
      </w:r>
      <w:r w:rsidR="00F86A19" w:rsidRPr="00F86A19">
        <w:t xml:space="preserve">. </w:t>
      </w:r>
    </w:p>
    <w:p w14:paraId="3BB275F9" w14:textId="6C4B7F02" w:rsidR="00D1476C" w:rsidRDefault="00C15471" w:rsidP="00C15471">
      <w:pPr>
        <w:jc w:val="both"/>
      </w:pPr>
      <w:r>
        <w:t>In generale a livello europeo, i consumatori di età compresa tra i 18 e i 25 anni sarebbero più disposti ad accettare un giardino più piccolo (32%), tempi di pendolarismo più lunghi (24%) o una posizione meno ambita (22%). Tutti questi dati scendono di oltre 10 punti percentuali tra le persone di età compresa tra i 56 e i 65 anni. La fascia d'età più avanzata sarebbe più disposta a vivere in meno spazio: il 34% accetterebbe una casa più piccola rispetto al 30% dei giovani tra i 18 e i 25 anni. Questo può essere dovuto al fatto che i giovani acquirenti di case sono in genere alla ricerca di immobili più piccoli, e quindi hanno meno margine di manovra per quanto riguarda le dimensioni, oppure stanno pensando di formare una famiglia o di aumentare il nucleo famigliare.</w:t>
      </w:r>
    </w:p>
    <w:p w14:paraId="7BB48F06" w14:textId="392B5345" w:rsidR="00C15471" w:rsidRDefault="00C15471" w:rsidP="00C15471">
      <w:pPr>
        <w:jc w:val="both"/>
      </w:pPr>
    </w:p>
    <w:p w14:paraId="5D4585BA" w14:textId="77777777" w:rsidR="00046677" w:rsidRPr="000F1288" w:rsidRDefault="00046677" w:rsidP="00046677">
      <w:pPr>
        <w:pBdr>
          <w:top w:val="single" w:sz="4" w:space="1" w:color="auto"/>
          <w:left w:val="single" w:sz="4" w:space="4" w:color="auto"/>
          <w:bottom w:val="single" w:sz="4" w:space="1" w:color="auto"/>
          <w:right w:val="single" w:sz="4" w:space="4" w:color="auto"/>
        </w:pBdr>
        <w:spacing w:line="360" w:lineRule="auto"/>
        <w:jc w:val="center"/>
        <w:rPr>
          <w:b/>
          <w:color w:val="DC1D2E"/>
          <w:sz w:val="22"/>
          <w:szCs w:val="22"/>
        </w:rPr>
      </w:pPr>
      <w:r>
        <w:rPr>
          <w:b/>
          <w:color w:val="DC1D2E"/>
          <w:sz w:val="22"/>
          <w:szCs w:val="22"/>
        </w:rPr>
        <w:t>Sfoglia o scarica</w:t>
      </w:r>
      <w:r w:rsidRPr="000F1288">
        <w:rPr>
          <w:b/>
          <w:color w:val="DC1D2E"/>
          <w:sz w:val="22"/>
          <w:szCs w:val="22"/>
        </w:rPr>
        <w:t xml:space="preserve"> la versione integrale del </w:t>
      </w:r>
    </w:p>
    <w:p w14:paraId="4F280E4E" w14:textId="77777777" w:rsidR="00046677" w:rsidRPr="000F1288" w:rsidRDefault="00046677" w:rsidP="00046677">
      <w:pPr>
        <w:pBdr>
          <w:top w:val="single" w:sz="4" w:space="1" w:color="auto"/>
          <w:left w:val="single" w:sz="4" w:space="4" w:color="auto"/>
          <w:bottom w:val="single" w:sz="4" w:space="1" w:color="auto"/>
          <w:right w:val="single" w:sz="4" w:space="4" w:color="auto"/>
        </w:pBdr>
        <w:spacing w:line="360" w:lineRule="auto"/>
        <w:jc w:val="center"/>
        <w:rPr>
          <w:b/>
          <w:color w:val="DC1D2E"/>
          <w:sz w:val="22"/>
          <w:szCs w:val="22"/>
        </w:rPr>
      </w:pPr>
      <w:r w:rsidRPr="000F1288">
        <w:rPr>
          <w:b/>
          <w:color w:val="DC1D2E"/>
          <w:sz w:val="22"/>
          <w:szCs w:val="22"/>
        </w:rPr>
        <w:t>‘2022 European Housing Trend Report’ di RE/MAX Europe al seguente li</w:t>
      </w:r>
      <w:r>
        <w:rPr>
          <w:b/>
          <w:color w:val="DC1D2E"/>
          <w:sz w:val="22"/>
          <w:szCs w:val="22"/>
        </w:rPr>
        <w:t>nk</w:t>
      </w:r>
      <w:r w:rsidRPr="000F1288">
        <w:rPr>
          <w:b/>
          <w:color w:val="DC1D2E"/>
          <w:sz w:val="22"/>
          <w:szCs w:val="22"/>
        </w:rPr>
        <w:t>:</w:t>
      </w:r>
    </w:p>
    <w:p w14:paraId="4EB9A917" w14:textId="77777777" w:rsidR="00046677" w:rsidRPr="000F1288" w:rsidRDefault="00176105" w:rsidP="00046677">
      <w:pPr>
        <w:pBdr>
          <w:top w:val="single" w:sz="4" w:space="1" w:color="auto"/>
          <w:left w:val="single" w:sz="4" w:space="4" w:color="auto"/>
          <w:bottom w:val="single" w:sz="4" w:space="1" w:color="auto"/>
          <w:right w:val="single" w:sz="4" w:space="4" w:color="auto"/>
        </w:pBdr>
        <w:spacing w:line="360" w:lineRule="auto"/>
        <w:jc w:val="center"/>
        <w:rPr>
          <w:b/>
          <w:bCs/>
        </w:rPr>
      </w:pPr>
      <w:hyperlink r:id="rId8" w:history="1">
        <w:r w:rsidR="00046677" w:rsidRPr="000F1288">
          <w:rPr>
            <w:rStyle w:val="Collegamentoipertestuale"/>
            <w:b/>
            <w:bCs/>
          </w:rPr>
          <w:t>https://user-75022683325.cld.bz/RE-MAX-EUROPEAN-TREND-2022</w:t>
        </w:r>
      </w:hyperlink>
    </w:p>
    <w:p w14:paraId="4E2651E9" w14:textId="2F2146C4" w:rsidR="00046677" w:rsidRDefault="00046677" w:rsidP="00C15471">
      <w:pPr>
        <w:jc w:val="both"/>
      </w:pPr>
    </w:p>
    <w:p w14:paraId="2AA48EFE" w14:textId="77777777" w:rsidR="00046677" w:rsidRDefault="00046677" w:rsidP="00C15471">
      <w:pPr>
        <w:jc w:val="both"/>
      </w:pPr>
    </w:p>
    <w:p w14:paraId="265BE819" w14:textId="22CEB3BF" w:rsidR="00F86A19" w:rsidRPr="00D2484F" w:rsidRDefault="00F86A19" w:rsidP="006E7369">
      <w:pPr>
        <w:pBdr>
          <w:top w:val="nil"/>
          <w:left w:val="nil"/>
          <w:bottom w:val="nil"/>
          <w:right w:val="nil"/>
          <w:between w:val="nil"/>
        </w:pBdr>
        <w:spacing w:line="254" w:lineRule="auto"/>
        <w:jc w:val="both"/>
        <w:rPr>
          <w:b/>
          <w:color w:val="003DA5"/>
          <w:sz w:val="22"/>
          <w:szCs w:val="22"/>
        </w:rPr>
      </w:pPr>
      <w:bookmarkStart w:id="0" w:name="_Hlk119942077"/>
      <w:r w:rsidRPr="00D2484F">
        <w:rPr>
          <w:b/>
          <w:color w:val="003DA5"/>
          <w:sz w:val="22"/>
          <w:szCs w:val="22"/>
        </w:rPr>
        <w:t xml:space="preserve">Informazioni </w:t>
      </w:r>
      <w:r w:rsidR="00847A2C" w:rsidRPr="00D2484F">
        <w:rPr>
          <w:b/>
          <w:color w:val="003DA5"/>
          <w:sz w:val="22"/>
          <w:szCs w:val="22"/>
        </w:rPr>
        <w:t>sul Report</w:t>
      </w:r>
    </w:p>
    <w:p w14:paraId="5F6E368E" w14:textId="50066508" w:rsidR="00847A2C" w:rsidRPr="00D2484F" w:rsidRDefault="00847A2C" w:rsidP="006E7369">
      <w:pPr>
        <w:pStyle w:val="Corpotesto"/>
        <w:spacing w:before="107" w:line="249" w:lineRule="auto"/>
        <w:jc w:val="both"/>
        <w:rPr>
          <w:rFonts w:ascii="Arial" w:hAnsi="Arial" w:cs="Arial"/>
        </w:rPr>
      </w:pPr>
      <w:r w:rsidRPr="00D2484F">
        <w:rPr>
          <w:rFonts w:ascii="Arial" w:hAnsi="Arial" w:cs="Arial"/>
        </w:rPr>
        <w:t xml:space="preserve">La survey per il </w:t>
      </w:r>
      <w:r w:rsidR="009D4FFB">
        <w:rPr>
          <w:rFonts w:ascii="Arial" w:hAnsi="Arial" w:cs="Arial"/>
        </w:rPr>
        <w:t>‘R</w:t>
      </w:r>
      <w:r w:rsidRPr="00D2484F">
        <w:rPr>
          <w:rFonts w:ascii="Arial" w:hAnsi="Arial" w:cs="Arial"/>
        </w:rPr>
        <w:t>E/MAX Europe Housing Trend Report</w:t>
      </w:r>
      <w:r w:rsidR="00F25ED5">
        <w:rPr>
          <w:rFonts w:ascii="Arial" w:hAnsi="Arial" w:cs="Arial"/>
        </w:rPr>
        <w:t xml:space="preserve"> </w:t>
      </w:r>
      <w:r w:rsidRPr="00D2484F">
        <w:rPr>
          <w:rFonts w:ascii="Arial" w:hAnsi="Arial" w:cs="Arial"/>
        </w:rPr>
        <w:t>2022</w:t>
      </w:r>
      <w:r w:rsidR="009D4FFB">
        <w:rPr>
          <w:rFonts w:ascii="Arial" w:hAnsi="Arial" w:cs="Arial"/>
        </w:rPr>
        <w:t>’</w:t>
      </w:r>
      <w:r w:rsidRPr="00D2484F">
        <w:rPr>
          <w:rFonts w:ascii="Arial" w:hAnsi="Arial" w:cs="Arial"/>
        </w:rPr>
        <w:t xml:space="preserve"> è stata condotta tramite intervista online con domande a scelta multipla (CAWI) in Austria, Bulgaria, Croazia, Repubblica Ceca, Inghilterra, Finlandia, Francia, Germania, Grecia, Ungheria, Israele, Italia, Malta, Paesi Bassi, Polonia, Portogallo, Romania, Slovenia, Spagna, Svizzera, Turchia e Galles nell'agosto 2022.</w:t>
      </w:r>
    </w:p>
    <w:p w14:paraId="222FC92B" w14:textId="77777777" w:rsidR="00847A2C" w:rsidRPr="00D2484F" w:rsidRDefault="00847A2C" w:rsidP="006E7369">
      <w:pPr>
        <w:pStyle w:val="Corpotesto"/>
        <w:spacing w:before="3"/>
        <w:jc w:val="both"/>
        <w:rPr>
          <w:rFonts w:ascii="Arial" w:hAnsi="Arial" w:cs="Arial"/>
        </w:rPr>
      </w:pPr>
    </w:p>
    <w:p w14:paraId="1E453976" w14:textId="4BADE765" w:rsidR="00847A2C" w:rsidRPr="00D2484F" w:rsidRDefault="00847A2C" w:rsidP="006E7369">
      <w:pPr>
        <w:pStyle w:val="Corpotesto"/>
        <w:spacing w:before="1" w:line="249" w:lineRule="auto"/>
        <w:ind w:right="1"/>
        <w:jc w:val="both"/>
        <w:rPr>
          <w:rFonts w:ascii="Arial" w:hAnsi="Arial" w:cs="Arial"/>
        </w:rPr>
      </w:pPr>
      <w:r w:rsidRPr="00D2484F">
        <w:rPr>
          <w:rFonts w:ascii="Arial" w:hAnsi="Arial" w:cs="Arial"/>
        </w:rPr>
        <w:t>I partecipanti al sondaggio (maschi e femmine di età compresa tra i 18 e i 65 anni) sono stati scelti in base a quote di rappresentanza nazionale per età, sesso e regione.</w:t>
      </w:r>
    </w:p>
    <w:p w14:paraId="60BA183E" w14:textId="611065F5" w:rsidR="00847A2C" w:rsidRPr="00D2484F" w:rsidRDefault="00847A2C" w:rsidP="006E7369">
      <w:pPr>
        <w:pStyle w:val="Corpotesto"/>
        <w:spacing w:before="107" w:line="249" w:lineRule="auto"/>
        <w:jc w:val="both"/>
        <w:rPr>
          <w:rFonts w:ascii="Arial" w:hAnsi="Arial" w:cs="Arial"/>
        </w:rPr>
      </w:pPr>
      <w:r w:rsidRPr="00D2484F">
        <w:rPr>
          <w:rFonts w:ascii="Arial" w:hAnsi="Arial" w:cs="Arial"/>
        </w:rPr>
        <w:t xml:space="preserve">L'istituto di ricerca a cui è stato affidato il sondaggio ha utilizzato i propri panel proprietari e quelli della propria rete di partner. (Il panel </w:t>
      </w:r>
      <w:r w:rsidR="009D4FFB">
        <w:rPr>
          <w:rFonts w:ascii="Arial" w:hAnsi="Arial" w:cs="Arial"/>
        </w:rPr>
        <w:t xml:space="preserve">proprietario </w:t>
      </w:r>
      <w:r w:rsidRPr="00D2484F">
        <w:rPr>
          <w:rFonts w:ascii="Arial" w:hAnsi="Arial" w:cs="Arial"/>
        </w:rPr>
        <w:t xml:space="preserve">è stato utilizzato in Francia, Grecia, Paesi Bassi, Polonia, Germania, Italia e Spagna. In Romania, Ungheria, Galles, Austria, Repubblica Ceca, Finlandia, Portogallo, Turchia, Svizzera e Inghilterra è stato utilizzato il panel </w:t>
      </w:r>
      <w:r w:rsidR="009D4FFB">
        <w:rPr>
          <w:rFonts w:ascii="Arial" w:hAnsi="Arial" w:cs="Arial"/>
        </w:rPr>
        <w:t xml:space="preserve">proprietario </w:t>
      </w:r>
      <w:r w:rsidRPr="00D2484F">
        <w:rPr>
          <w:rFonts w:ascii="Arial" w:hAnsi="Arial" w:cs="Arial"/>
        </w:rPr>
        <w:t>e sono stati aggiunti panel esterni di partner della rete. In Bulgaria, Croazia, Israele, Malta e Slovenia sono stati utilizzati panel esterni).</w:t>
      </w:r>
    </w:p>
    <w:p w14:paraId="3FE8E0AC" w14:textId="77777777" w:rsidR="00F86A19" w:rsidRPr="00F86A19" w:rsidRDefault="00F86A19" w:rsidP="006E7369">
      <w:pPr>
        <w:jc w:val="both"/>
      </w:pPr>
    </w:p>
    <w:tbl>
      <w:tblPr>
        <w:tblpPr w:leftFromText="141" w:rightFromText="141" w:vertAnchor="text" w:horzAnchor="margin" w:tblpY="73"/>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843"/>
        <w:gridCol w:w="1560"/>
        <w:gridCol w:w="1843"/>
      </w:tblGrid>
      <w:tr w:rsidR="00D2484F" w14:paraId="32215A5D" w14:textId="77777777" w:rsidTr="00D2484F">
        <w:trPr>
          <w:trHeight w:val="590"/>
        </w:trPr>
        <w:tc>
          <w:tcPr>
            <w:tcW w:w="1843" w:type="dxa"/>
            <w:tcBorders>
              <w:top w:val="nil"/>
              <w:left w:val="nil"/>
            </w:tcBorders>
            <w:shd w:val="clear" w:color="auto" w:fill="0042A1"/>
          </w:tcPr>
          <w:p w14:paraId="5DFA10BB" w14:textId="77777777" w:rsidR="00D2484F" w:rsidRDefault="00D2484F" w:rsidP="00D2484F">
            <w:pPr>
              <w:pStyle w:val="TableParagraph"/>
              <w:spacing w:before="184"/>
              <w:ind w:left="80"/>
              <w:jc w:val="left"/>
              <w:rPr>
                <w:b/>
                <w:sz w:val="20"/>
              </w:rPr>
            </w:pPr>
            <w:r>
              <w:rPr>
                <w:b/>
                <w:color w:val="FFFFFF"/>
                <w:sz w:val="20"/>
              </w:rPr>
              <w:t>Età</w:t>
            </w:r>
          </w:p>
        </w:tc>
        <w:tc>
          <w:tcPr>
            <w:tcW w:w="1560" w:type="dxa"/>
            <w:tcBorders>
              <w:top w:val="nil"/>
            </w:tcBorders>
            <w:shd w:val="clear" w:color="auto" w:fill="0042A1"/>
          </w:tcPr>
          <w:p w14:paraId="5D60C3A1" w14:textId="77777777" w:rsidR="00D2484F" w:rsidRDefault="00D2484F" w:rsidP="00D2484F">
            <w:pPr>
              <w:pStyle w:val="TableParagraph"/>
              <w:spacing w:before="184"/>
              <w:ind w:right="70"/>
              <w:jc w:val="center"/>
              <w:rPr>
                <w:b/>
                <w:sz w:val="20"/>
              </w:rPr>
            </w:pPr>
            <w:r>
              <w:rPr>
                <w:b/>
                <w:color w:val="FFFFFF"/>
                <w:sz w:val="20"/>
              </w:rPr>
              <w:t>Intervistati</w:t>
            </w:r>
          </w:p>
        </w:tc>
        <w:tc>
          <w:tcPr>
            <w:tcW w:w="1843" w:type="dxa"/>
            <w:tcBorders>
              <w:top w:val="nil"/>
              <w:right w:val="nil"/>
            </w:tcBorders>
            <w:shd w:val="clear" w:color="auto" w:fill="0042A1"/>
          </w:tcPr>
          <w:p w14:paraId="643DCE54" w14:textId="77777777" w:rsidR="00D2484F" w:rsidRDefault="00D2484F" w:rsidP="00D2484F">
            <w:pPr>
              <w:pStyle w:val="TableParagraph"/>
              <w:spacing w:before="184"/>
              <w:ind w:right="80"/>
              <w:jc w:val="center"/>
              <w:rPr>
                <w:b/>
                <w:sz w:val="20"/>
              </w:rPr>
            </w:pPr>
            <w:r>
              <w:rPr>
                <w:b/>
                <w:color w:val="FFFFFF"/>
                <w:sz w:val="20"/>
              </w:rPr>
              <w:t>% del campione</w:t>
            </w:r>
          </w:p>
        </w:tc>
      </w:tr>
      <w:tr w:rsidR="00D2484F" w14:paraId="5B6DFB83" w14:textId="77777777" w:rsidTr="00D2484F">
        <w:trPr>
          <w:trHeight w:val="340"/>
        </w:trPr>
        <w:tc>
          <w:tcPr>
            <w:tcW w:w="1843" w:type="dxa"/>
            <w:tcBorders>
              <w:left w:val="nil"/>
            </w:tcBorders>
            <w:shd w:val="clear" w:color="auto" w:fill="DEF5FD"/>
          </w:tcPr>
          <w:p w14:paraId="44946033" w14:textId="77777777" w:rsidR="00D2484F" w:rsidRDefault="00D2484F" w:rsidP="00D2484F">
            <w:pPr>
              <w:pStyle w:val="TableParagraph"/>
              <w:ind w:left="80"/>
              <w:jc w:val="left"/>
              <w:rPr>
                <w:b/>
                <w:sz w:val="20"/>
              </w:rPr>
            </w:pPr>
            <w:r>
              <w:rPr>
                <w:b/>
                <w:color w:val="003662"/>
                <w:sz w:val="20"/>
              </w:rPr>
              <w:t>18-25</w:t>
            </w:r>
          </w:p>
        </w:tc>
        <w:tc>
          <w:tcPr>
            <w:tcW w:w="1560" w:type="dxa"/>
            <w:shd w:val="clear" w:color="auto" w:fill="DEF5FD"/>
          </w:tcPr>
          <w:p w14:paraId="0B3B6A22" w14:textId="77777777" w:rsidR="00D2484F" w:rsidRDefault="00D2484F" w:rsidP="00D2484F">
            <w:pPr>
              <w:pStyle w:val="TableParagraph"/>
              <w:ind w:right="70"/>
              <w:rPr>
                <w:rFonts w:ascii="Arial MT"/>
                <w:sz w:val="20"/>
              </w:rPr>
            </w:pPr>
            <w:r>
              <w:rPr>
                <w:rFonts w:ascii="Arial MT"/>
                <w:color w:val="003662"/>
                <w:sz w:val="20"/>
              </w:rPr>
              <w:t>2,391</w:t>
            </w:r>
          </w:p>
        </w:tc>
        <w:tc>
          <w:tcPr>
            <w:tcW w:w="1843" w:type="dxa"/>
            <w:tcBorders>
              <w:right w:val="nil"/>
            </w:tcBorders>
            <w:shd w:val="clear" w:color="auto" w:fill="DEF5FD"/>
          </w:tcPr>
          <w:p w14:paraId="01635985" w14:textId="77777777" w:rsidR="00D2484F" w:rsidRDefault="00D2484F" w:rsidP="00D2484F">
            <w:pPr>
              <w:pStyle w:val="TableParagraph"/>
              <w:ind w:right="80"/>
              <w:rPr>
                <w:rFonts w:ascii="Arial MT"/>
                <w:sz w:val="20"/>
              </w:rPr>
            </w:pPr>
            <w:r>
              <w:rPr>
                <w:rFonts w:ascii="Arial MT"/>
                <w:color w:val="003662"/>
                <w:sz w:val="20"/>
              </w:rPr>
              <w:t>15%</w:t>
            </w:r>
          </w:p>
        </w:tc>
      </w:tr>
      <w:tr w:rsidR="00D2484F" w14:paraId="53F0C0F2" w14:textId="77777777" w:rsidTr="00D2484F">
        <w:trPr>
          <w:trHeight w:val="340"/>
        </w:trPr>
        <w:tc>
          <w:tcPr>
            <w:tcW w:w="1843" w:type="dxa"/>
            <w:tcBorders>
              <w:left w:val="nil"/>
            </w:tcBorders>
            <w:shd w:val="clear" w:color="auto" w:fill="DEF5FD"/>
          </w:tcPr>
          <w:p w14:paraId="2556B346" w14:textId="77777777" w:rsidR="00D2484F" w:rsidRDefault="00D2484F" w:rsidP="00D2484F">
            <w:pPr>
              <w:pStyle w:val="TableParagraph"/>
              <w:ind w:left="80"/>
              <w:jc w:val="left"/>
              <w:rPr>
                <w:b/>
                <w:sz w:val="20"/>
              </w:rPr>
            </w:pPr>
            <w:r>
              <w:rPr>
                <w:b/>
                <w:color w:val="003662"/>
                <w:sz w:val="20"/>
              </w:rPr>
              <w:t>26-35</w:t>
            </w:r>
          </w:p>
        </w:tc>
        <w:tc>
          <w:tcPr>
            <w:tcW w:w="1560" w:type="dxa"/>
            <w:shd w:val="clear" w:color="auto" w:fill="DEF5FD"/>
          </w:tcPr>
          <w:p w14:paraId="0A284BD7" w14:textId="77777777" w:rsidR="00D2484F" w:rsidRDefault="00D2484F" w:rsidP="00D2484F">
            <w:pPr>
              <w:pStyle w:val="TableParagraph"/>
              <w:ind w:right="70"/>
              <w:rPr>
                <w:rFonts w:ascii="Arial MT"/>
                <w:sz w:val="20"/>
              </w:rPr>
            </w:pPr>
            <w:r>
              <w:rPr>
                <w:rFonts w:ascii="Arial MT"/>
                <w:color w:val="003662"/>
                <w:sz w:val="20"/>
              </w:rPr>
              <w:t>3,445</w:t>
            </w:r>
          </w:p>
        </w:tc>
        <w:tc>
          <w:tcPr>
            <w:tcW w:w="1843" w:type="dxa"/>
            <w:tcBorders>
              <w:right w:val="nil"/>
            </w:tcBorders>
            <w:shd w:val="clear" w:color="auto" w:fill="DEF5FD"/>
          </w:tcPr>
          <w:p w14:paraId="46F22E8D" w14:textId="77777777" w:rsidR="00D2484F" w:rsidRDefault="00D2484F" w:rsidP="00D2484F">
            <w:pPr>
              <w:pStyle w:val="TableParagraph"/>
              <w:ind w:right="80"/>
              <w:rPr>
                <w:rFonts w:ascii="Arial MT"/>
                <w:sz w:val="20"/>
              </w:rPr>
            </w:pPr>
            <w:r>
              <w:rPr>
                <w:rFonts w:ascii="Arial MT"/>
                <w:color w:val="003662"/>
                <w:sz w:val="20"/>
              </w:rPr>
              <w:t>22%</w:t>
            </w:r>
          </w:p>
        </w:tc>
      </w:tr>
      <w:tr w:rsidR="00D2484F" w14:paraId="2644A6FD" w14:textId="77777777" w:rsidTr="00D2484F">
        <w:trPr>
          <w:trHeight w:val="340"/>
        </w:trPr>
        <w:tc>
          <w:tcPr>
            <w:tcW w:w="1843" w:type="dxa"/>
            <w:tcBorders>
              <w:left w:val="nil"/>
            </w:tcBorders>
            <w:shd w:val="clear" w:color="auto" w:fill="DEF5FD"/>
          </w:tcPr>
          <w:p w14:paraId="5626E911" w14:textId="77777777" w:rsidR="00D2484F" w:rsidRDefault="00D2484F" w:rsidP="00D2484F">
            <w:pPr>
              <w:pStyle w:val="TableParagraph"/>
              <w:ind w:left="80"/>
              <w:jc w:val="left"/>
              <w:rPr>
                <w:b/>
                <w:sz w:val="20"/>
              </w:rPr>
            </w:pPr>
            <w:r>
              <w:rPr>
                <w:b/>
                <w:color w:val="003662"/>
                <w:sz w:val="20"/>
              </w:rPr>
              <w:t>36-45</w:t>
            </w:r>
          </w:p>
        </w:tc>
        <w:tc>
          <w:tcPr>
            <w:tcW w:w="1560" w:type="dxa"/>
            <w:shd w:val="clear" w:color="auto" w:fill="DEF5FD"/>
          </w:tcPr>
          <w:p w14:paraId="2DC81342" w14:textId="77777777" w:rsidR="00D2484F" w:rsidRDefault="00D2484F" w:rsidP="00D2484F">
            <w:pPr>
              <w:pStyle w:val="TableParagraph"/>
              <w:ind w:right="70"/>
              <w:rPr>
                <w:rFonts w:ascii="Arial MT"/>
                <w:sz w:val="20"/>
              </w:rPr>
            </w:pPr>
            <w:r>
              <w:rPr>
                <w:rFonts w:ascii="Arial MT"/>
                <w:color w:val="003662"/>
                <w:sz w:val="20"/>
              </w:rPr>
              <w:t>3,716</w:t>
            </w:r>
          </w:p>
        </w:tc>
        <w:tc>
          <w:tcPr>
            <w:tcW w:w="1843" w:type="dxa"/>
            <w:tcBorders>
              <w:right w:val="nil"/>
            </w:tcBorders>
            <w:shd w:val="clear" w:color="auto" w:fill="DEF5FD"/>
          </w:tcPr>
          <w:p w14:paraId="6F979BE6" w14:textId="77777777" w:rsidR="00D2484F" w:rsidRDefault="00D2484F" w:rsidP="00D2484F">
            <w:pPr>
              <w:pStyle w:val="TableParagraph"/>
              <w:ind w:right="80"/>
              <w:rPr>
                <w:rFonts w:ascii="Arial MT"/>
                <w:sz w:val="20"/>
              </w:rPr>
            </w:pPr>
            <w:r>
              <w:rPr>
                <w:rFonts w:ascii="Arial MT"/>
                <w:color w:val="003662"/>
                <w:sz w:val="20"/>
              </w:rPr>
              <w:t>24%</w:t>
            </w:r>
          </w:p>
        </w:tc>
      </w:tr>
      <w:tr w:rsidR="00D2484F" w14:paraId="7C9A3CD3" w14:textId="77777777" w:rsidTr="00D2484F">
        <w:trPr>
          <w:trHeight w:val="340"/>
        </w:trPr>
        <w:tc>
          <w:tcPr>
            <w:tcW w:w="1843" w:type="dxa"/>
            <w:tcBorders>
              <w:left w:val="nil"/>
            </w:tcBorders>
            <w:shd w:val="clear" w:color="auto" w:fill="DEF5FD"/>
          </w:tcPr>
          <w:p w14:paraId="32C7090F" w14:textId="77777777" w:rsidR="00D2484F" w:rsidRDefault="00D2484F" w:rsidP="00D2484F">
            <w:pPr>
              <w:pStyle w:val="TableParagraph"/>
              <w:ind w:left="80"/>
              <w:jc w:val="left"/>
              <w:rPr>
                <w:b/>
                <w:sz w:val="20"/>
              </w:rPr>
            </w:pPr>
            <w:r>
              <w:rPr>
                <w:b/>
                <w:color w:val="003662"/>
                <w:sz w:val="20"/>
              </w:rPr>
              <w:t>46-55</w:t>
            </w:r>
          </w:p>
        </w:tc>
        <w:tc>
          <w:tcPr>
            <w:tcW w:w="1560" w:type="dxa"/>
            <w:shd w:val="clear" w:color="auto" w:fill="DEF5FD"/>
          </w:tcPr>
          <w:p w14:paraId="18B3536D" w14:textId="77777777" w:rsidR="00D2484F" w:rsidRDefault="00D2484F" w:rsidP="00D2484F">
            <w:pPr>
              <w:pStyle w:val="TableParagraph"/>
              <w:ind w:right="70"/>
              <w:rPr>
                <w:rFonts w:ascii="Arial MT"/>
                <w:sz w:val="20"/>
              </w:rPr>
            </w:pPr>
            <w:r>
              <w:rPr>
                <w:rFonts w:ascii="Arial MT"/>
                <w:color w:val="003662"/>
                <w:sz w:val="20"/>
              </w:rPr>
              <w:t>3,609</w:t>
            </w:r>
          </w:p>
        </w:tc>
        <w:tc>
          <w:tcPr>
            <w:tcW w:w="1843" w:type="dxa"/>
            <w:tcBorders>
              <w:right w:val="nil"/>
            </w:tcBorders>
            <w:shd w:val="clear" w:color="auto" w:fill="DEF5FD"/>
          </w:tcPr>
          <w:p w14:paraId="3294414F" w14:textId="77777777" w:rsidR="00D2484F" w:rsidRDefault="00D2484F" w:rsidP="00D2484F">
            <w:pPr>
              <w:pStyle w:val="TableParagraph"/>
              <w:ind w:right="80"/>
              <w:rPr>
                <w:rFonts w:ascii="Arial MT"/>
                <w:sz w:val="20"/>
              </w:rPr>
            </w:pPr>
            <w:r>
              <w:rPr>
                <w:rFonts w:ascii="Arial MT"/>
                <w:color w:val="003662"/>
                <w:sz w:val="20"/>
              </w:rPr>
              <w:t>23%</w:t>
            </w:r>
          </w:p>
        </w:tc>
      </w:tr>
      <w:tr w:rsidR="00D2484F" w14:paraId="7DEAF0F7" w14:textId="77777777" w:rsidTr="00D2484F">
        <w:trPr>
          <w:trHeight w:val="332"/>
        </w:trPr>
        <w:tc>
          <w:tcPr>
            <w:tcW w:w="1843" w:type="dxa"/>
            <w:tcBorders>
              <w:left w:val="nil"/>
            </w:tcBorders>
            <w:shd w:val="clear" w:color="auto" w:fill="DEF5FD"/>
          </w:tcPr>
          <w:p w14:paraId="441C75A5" w14:textId="77777777" w:rsidR="00D2484F" w:rsidRDefault="00D2484F" w:rsidP="00D2484F">
            <w:pPr>
              <w:pStyle w:val="TableParagraph"/>
              <w:spacing w:before="50"/>
              <w:ind w:left="80"/>
              <w:jc w:val="left"/>
              <w:rPr>
                <w:b/>
                <w:sz w:val="20"/>
              </w:rPr>
            </w:pPr>
            <w:r>
              <w:rPr>
                <w:b/>
                <w:color w:val="003662"/>
                <w:sz w:val="20"/>
              </w:rPr>
              <w:t>56-65</w:t>
            </w:r>
          </w:p>
        </w:tc>
        <w:tc>
          <w:tcPr>
            <w:tcW w:w="1560" w:type="dxa"/>
            <w:shd w:val="clear" w:color="auto" w:fill="DEF5FD"/>
          </w:tcPr>
          <w:p w14:paraId="12DA12AF" w14:textId="77777777" w:rsidR="00D2484F" w:rsidRDefault="00D2484F" w:rsidP="00D2484F">
            <w:pPr>
              <w:pStyle w:val="TableParagraph"/>
              <w:spacing w:before="50"/>
              <w:ind w:right="70"/>
              <w:rPr>
                <w:rFonts w:ascii="Arial MT"/>
                <w:sz w:val="20"/>
              </w:rPr>
            </w:pPr>
            <w:r>
              <w:rPr>
                <w:rFonts w:ascii="Arial MT"/>
                <w:color w:val="003662"/>
                <w:sz w:val="20"/>
              </w:rPr>
              <w:t>2,588</w:t>
            </w:r>
          </w:p>
        </w:tc>
        <w:tc>
          <w:tcPr>
            <w:tcW w:w="1843" w:type="dxa"/>
            <w:tcBorders>
              <w:right w:val="nil"/>
            </w:tcBorders>
            <w:shd w:val="clear" w:color="auto" w:fill="DEF5FD"/>
          </w:tcPr>
          <w:p w14:paraId="530B91F3" w14:textId="77777777" w:rsidR="00D2484F" w:rsidRDefault="00D2484F" w:rsidP="00D2484F">
            <w:pPr>
              <w:pStyle w:val="TableParagraph"/>
              <w:spacing w:before="50"/>
              <w:ind w:right="80"/>
              <w:rPr>
                <w:rFonts w:ascii="Arial MT"/>
                <w:sz w:val="20"/>
              </w:rPr>
            </w:pPr>
            <w:r>
              <w:rPr>
                <w:rFonts w:ascii="Arial MT"/>
                <w:color w:val="003662"/>
                <w:sz w:val="20"/>
              </w:rPr>
              <w:t>17%</w:t>
            </w:r>
          </w:p>
        </w:tc>
      </w:tr>
    </w:tbl>
    <w:p w14:paraId="34C4E332" w14:textId="0CDEBC43" w:rsidR="00F86A19" w:rsidRDefault="00F86A19" w:rsidP="00F86A19"/>
    <w:p w14:paraId="2E549140" w14:textId="7D552128" w:rsidR="00847A2C" w:rsidRDefault="00847A2C" w:rsidP="00F86A19"/>
    <w:p w14:paraId="694A673E" w14:textId="77777777" w:rsidR="00D2484F" w:rsidRDefault="00D2484F" w:rsidP="00847A2C">
      <w:pPr>
        <w:rPr>
          <w:b/>
          <w:color w:val="004A99"/>
        </w:rPr>
      </w:pPr>
    </w:p>
    <w:p w14:paraId="2F2A267E" w14:textId="77777777" w:rsidR="00D2484F" w:rsidRDefault="00D2484F" w:rsidP="00847A2C">
      <w:pPr>
        <w:rPr>
          <w:b/>
          <w:color w:val="004A99"/>
        </w:rPr>
      </w:pPr>
    </w:p>
    <w:p w14:paraId="280C8651" w14:textId="77777777" w:rsidR="00D2484F" w:rsidRDefault="00D2484F" w:rsidP="00847A2C">
      <w:pPr>
        <w:rPr>
          <w:b/>
          <w:color w:val="004A99"/>
        </w:rPr>
      </w:pPr>
    </w:p>
    <w:p w14:paraId="6886B00A" w14:textId="77777777" w:rsidR="00D2484F" w:rsidRDefault="00D2484F" w:rsidP="00847A2C">
      <w:pPr>
        <w:rPr>
          <w:b/>
          <w:color w:val="004A99"/>
        </w:rPr>
      </w:pPr>
    </w:p>
    <w:p w14:paraId="63C546E9" w14:textId="77777777" w:rsidR="00D2484F" w:rsidRDefault="00D2484F" w:rsidP="00847A2C">
      <w:pPr>
        <w:rPr>
          <w:b/>
          <w:color w:val="004A99"/>
        </w:rPr>
      </w:pPr>
    </w:p>
    <w:p w14:paraId="48B31EBE" w14:textId="77777777" w:rsidR="00D2484F" w:rsidRDefault="00D2484F" w:rsidP="00847A2C">
      <w:pPr>
        <w:rPr>
          <w:b/>
          <w:color w:val="004A99"/>
        </w:rPr>
      </w:pPr>
    </w:p>
    <w:p w14:paraId="4F78A435" w14:textId="77777777" w:rsidR="00D2484F" w:rsidRDefault="00D2484F" w:rsidP="00847A2C">
      <w:pPr>
        <w:rPr>
          <w:b/>
          <w:color w:val="004A99"/>
        </w:rPr>
      </w:pPr>
    </w:p>
    <w:p w14:paraId="59D215CC" w14:textId="77777777" w:rsidR="00D2484F" w:rsidRDefault="00D2484F" w:rsidP="00847A2C">
      <w:pPr>
        <w:rPr>
          <w:b/>
          <w:color w:val="004A99"/>
        </w:rPr>
      </w:pPr>
    </w:p>
    <w:p w14:paraId="77CB0450" w14:textId="77777777" w:rsidR="006E7369" w:rsidRDefault="006E7369" w:rsidP="00847A2C">
      <w:pPr>
        <w:rPr>
          <w:b/>
          <w:color w:val="004A99"/>
        </w:rPr>
      </w:pPr>
    </w:p>
    <w:p w14:paraId="24501D87" w14:textId="25F309C8" w:rsidR="00847A2C" w:rsidRPr="00D2484F" w:rsidRDefault="00847A2C" w:rsidP="00847A2C">
      <w:pPr>
        <w:rPr>
          <w:b/>
          <w:color w:val="004A99"/>
        </w:rPr>
      </w:pPr>
      <w:r w:rsidRPr="00D2484F">
        <w:rPr>
          <w:b/>
          <w:color w:val="004A99"/>
        </w:rPr>
        <w:t>COMPANY</w:t>
      </w:r>
      <w:r w:rsidRPr="00D2484F">
        <w:rPr>
          <w:b/>
        </w:rPr>
        <w:t xml:space="preserve"> </w:t>
      </w:r>
      <w:r w:rsidRPr="00D2484F">
        <w:rPr>
          <w:b/>
          <w:color w:val="004A99"/>
        </w:rPr>
        <w:t>PROFILE RE/MAX ITALIA – remax.it</w:t>
      </w:r>
    </w:p>
    <w:p w14:paraId="3089823C" w14:textId="77777777" w:rsidR="00847A2C" w:rsidRPr="00FD3AEC" w:rsidRDefault="00847A2C" w:rsidP="00FD3AEC">
      <w:pPr>
        <w:jc w:val="both"/>
        <w:rPr>
          <w:sz w:val="18"/>
          <w:szCs w:val="18"/>
        </w:rPr>
      </w:pPr>
      <w:r w:rsidRPr="00FD3AEC">
        <w:rPr>
          <w:sz w:val="18"/>
          <w:szCs w:val="18"/>
        </w:rPr>
        <w:t xml:space="preserve">Fondata in USA nel 1973 da Dave e Gail Liniger, RE/MAX approda in </w:t>
      </w:r>
      <w:r w:rsidRPr="00FD3AEC">
        <w:rPr>
          <w:b/>
          <w:bCs/>
          <w:sz w:val="18"/>
          <w:szCs w:val="18"/>
        </w:rPr>
        <w:t>Italia nel 1996</w:t>
      </w:r>
      <w:r w:rsidRPr="00FD3AEC">
        <w:rPr>
          <w:sz w:val="18"/>
          <w:szCs w:val="18"/>
        </w:rPr>
        <w:t xml:space="preserve"> grazie alla lungimirante vision di </w:t>
      </w:r>
      <w:r w:rsidRPr="00FD3AEC">
        <w:rPr>
          <w:b/>
          <w:bCs/>
          <w:sz w:val="18"/>
          <w:szCs w:val="18"/>
        </w:rPr>
        <w:t>Dario Castiglia</w:t>
      </w:r>
      <w:r w:rsidRPr="00FD3AEC">
        <w:rPr>
          <w:sz w:val="18"/>
          <w:szCs w:val="18"/>
        </w:rPr>
        <w:t>, tutt’oggi alla guida del network immobiliare. Anno dopo anno RE/MAX rafforza sempre la leadership</w:t>
      </w:r>
      <w:r w:rsidRPr="00FD3AEC">
        <w:rPr>
          <w:b/>
          <w:bCs/>
          <w:sz w:val="18"/>
          <w:szCs w:val="18"/>
        </w:rPr>
        <w:t xml:space="preserve"> a livello mondiale</w:t>
      </w:r>
      <w:r w:rsidRPr="00FD3AEC">
        <w:rPr>
          <w:sz w:val="18"/>
          <w:szCs w:val="18"/>
        </w:rPr>
        <w:t xml:space="preserve">, dove oggi è presente in oltre 115 Paesi con più di 8.000 agenzie in cui operano più di 140.000 consulenti immobiliari affiliati. </w:t>
      </w:r>
      <w:r w:rsidRPr="00FD3AEC">
        <w:rPr>
          <w:b/>
          <w:bCs/>
          <w:sz w:val="18"/>
          <w:szCs w:val="18"/>
        </w:rPr>
        <w:t>In Italia RE/MAX si è sempre distinta nel panorama dei gruppi immobiliari in franchising in termini di velocità di crescita ed espansione sul territorio nazionale.</w:t>
      </w:r>
      <w:r w:rsidRPr="00FD3AEC">
        <w:rPr>
          <w:sz w:val="18"/>
          <w:szCs w:val="18"/>
        </w:rPr>
        <w:t xml:space="preserve"> Ad oggi il Gruppo annovera un network composto da </w:t>
      </w:r>
      <w:r w:rsidRPr="00FD3AEC">
        <w:rPr>
          <w:b/>
          <w:bCs/>
          <w:sz w:val="18"/>
          <w:szCs w:val="18"/>
        </w:rPr>
        <w:t xml:space="preserve">più di </w:t>
      </w:r>
      <w:bookmarkStart w:id="1" w:name="_Hlk87621813"/>
      <w:r w:rsidRPr="00FD3AEC">
        <w:rPr>
          <w:b/>
          <w:bCs/>
          <w:sz w:val="18"/>
          <w:szCs w:val="18"/>
        </w:rPr>
        <w:t>450</w:t>
      </w:r>
      <w:r w:rsidRPr="00FD3AEC">
        <w:rPr>
          <w:sz w:val="18"/>
          <w:szCs w:val="18"/>
        </w:rPr>
        <w:t xml:space="preserve"> agenzie e oltre </w:t>
      </w:r>
      <w:r w:rsidRPr="00FD3AEC">
        <w:rPr>
          <w:b/>
          <w:bCs/>
          <w:sz w:val="18"/>
          <w:szCs w:val="18"/>
        </w:rPr>
        <w:t>4600</w:t>
      </w:r>
      <w:r w:rsidRPr="00FD3AEC">
        <w:rPr>
          <w:sz w:val="18"/>
          <w:szCs w:val="18"/>
        </w:rPr>
        <w:t xml:space="preserve"> agenti operativi in 20 Regioni</w:t>
      </w:r>
      <w:bookmarkEnd w:id="1"/>
      <w:r w:rsidRPr="00FD3AEC">
        <w:rPr>
          <w:sz w:val="18"/>
          <w:szCs w:val="18"/>
        </w:rPr>
        <w:t>.</w:t>
      </w:r>
    </w:p>
    <w:p w14:paraId="2656087F" w14:textId="77777777" w:rsidR="00847A2C" w:rsidRPr="00FD3AEC" w:rsidRDefault="00847A2C" w:rsidP="00FD3AEC">
      <w:pPr>
        <w:pStyle w:val="Testonormale"/>
        <w:spacing w:line="276" w:lineRule="auto"/>
        <w:jc w:val="both"/>
        <w:rPr>
          <w:rFonts w:ascii="Arial" w:hAnsi="Arial" w:cs="Arial"/>
          <w:b/>
          <w:bCs/>
          <w:sz w:val="18"/>
          <w:szCs w:val="18"/>
        </w:rPr>
      </w:pPr>
      <w:r w:rsidRPr="00FD3AEC">
        <w:rPr>
          <w:rFonts w:ascii="Arial" w:hAnsi="Arial" w:cs="Arial"/>
          <w:sz w:val="18"/>
          <w:szCs w:val="18"/>
        </w:rPr>
        <w:t xml:space="preserve">Con un fatturato aggregato di 80M messo a segno nel 2020, anno caratterizzato da una flessione generale del mercato immobiliare, RE/MAX Italia si conferma in controtendenza, guadagnando quote di mercato. Il Gruppo si pone l’obiettivo di incrementare del 20% il giro d’affari complessivo nel 2021, anno in cui festeggia il 25esimo anniversario d’attività in Italia. Andamento crescente anche in ambito di reclutamento, con una previsione di aumento degli affiliati del 20% su base annuale. Un successo derivante dall’esclusivo </w:t>
      </w:r>
      <w:r w:rsidRPr="00FD3AEC">
        <w:rPr>
          <w:rFonts w:ascii="Arial" w:hAnsi="Arial" w:cs="Arial"/>
          <w:b/>
          <w:bCs/>
          <w:sz w:val="18"/>
          <w:szCs w:val="18"/>
        </w:rPr>
        <w:t>modello di business basato sullo studio associato</w:t>
      </w:r>
      <w:r w:rsidRPr="00FD3AEC">
        <w:rPr>
          <w:rFonts w:ascii="Arial" w:hAnsi="Arial" w:cs="Arial"/>
          <w:sz w:val="18"/>
          <w:szCs w:val="18"/>
        </w:rPr>
        <w:t xml:space="preserve"> in cui vige la </w:t>
      </w:r>
      <w:r w:rsidRPr="00FD3AEC">
        <w:rPr>
          <w:rFonts w:ascii="Arial" w:hAnsi="Arial" w:cs="Arial"/>
          <w:b/>
          <w:bCs/>
          <w:sz w:val="18"/>
          <w:szCs w:val="18"/>
        </w:rPr>
        <w:t>formula “win-win”</w:t>
      </w:r>
      <w:r w:rsidRPr="00FD3AEC">
        <w:rPr>
          <w:rFonts w:ascii="Arial" w:hAnsi="Arial" w:cs="Arial"/>
          <w:sz w:val="18"/>
          <w:szCs w:val="18"/>
        </w:rPr>
        <w:t xml:space="preserve">. La forza del network RE/MAX è il network stesso: agenti e broker collaborano sinergicamente tra loro, offrendo ai clienti un carnet di proposte molto ampio e consulenza professionale con l’ausilio dei più avanzati </w:t>
      </w:r>
      <w:r w:rsidRPr="00FD3AEC">
        <w:rPr>
          <w:rFonts w:ascii="Arial" w:hAnsi="Arial" w:cs="Arial"/>
          <w:b/>
          <w:bCs/>
          <w:sz w:val="18"/>
          <w:szCs w:val="18"/>
        </w:rPr>
        <w:t>strumenti tecnologici.</w:t>
      </w:r>
    </w:p>
    <w:p w14:paraId="4D90BBAA" w14:textId="77777777" w:rsidR="00847A2C" w:rsidRPr="00FD3AEC" w:rsidRDefault="00847A2C" w:rsidP="00FD3AEC">
      <w:pPr>
        <w:jc w:val="both"/>
        <w:rPr>
          <w:sz w:val="18"/>
          <w:szCs w:val="18"/>
        </w:rPr>
      </w:pPr>
      <w:r w:rsidRPr="00FD3AEC">
        <w:rPr>
          <w:sz w:val="18"/>
          <w:szCs w:val="18"/>
        </w:rPr>
        <w:lastRenderedPageBreak/>
        <w:t xml:space="preserve">La </w:t>
      </w:r>
      <w:r w:rsidRPr="00FD3AEC">
        <w:rPr>
          <w:b/>
          <w:bCs/>
          <w:sz w:val="18"/>
          <w:szCs w:val="18"/>
        </w:rPr>
        <w:t>tecnologia, infatti, è un asset strategico di RE/MAX</w:t>
      </w:r>
      <w:r w:rsidRPr="00FD3AEC">
        <w:rPr>
          <w:sz w:val="18"/>
          <w:szCs w:val="18"/>
        </w:rPr>
        <w:t xml:space="preserve">, che punta sulla digitalizzazione del processo di vendita mettendo a disposizione della rete gli strumenti più evoluti per garantire ai clienti </w:t>
      </w:r>
      <w:r w:rsidRPr="00FD3AEC">
        <w:rPr>
          <w:b/>
          <w:bCs/>
          <w:sz w:val="18"/>
          <w:szCs w:val="18"/>
        </w:rPr>
        <w:t>una customer experience</w:t>
      </w:r>
      <w:r w:rsidRPr="00FD3AEC">
        <w:rPr>
          <w:sz w:val="18"/>
          <w:szCs w:val="18"/>
        </w:rPr>
        <w:t xml:space="preserve"> sempre più confortevole in tutte le fasi della trattativa. Inoltre, a tutto il network di agenti e broker viene offerta la possibilità di accedere a </w:t>
      </w:r>
      <w:r w:rsidRPr="00FD3AEC">
        <w:rPr>
          <w:b/>
          <w:bCs/>
          <w:sz w:val="18"/>
          <w:szCs w:val="18"/>
        </w:rPr>
        <w:t>programmi formativi d’eccellenza erogati da RE/MAX University</w:t>
      </w:r>
      <w:r w:rsidRPr="00FD3AEC">
        <w:rPr>
          <w:sz w:val="18"/>
          <w:szCs w:val="18"/>
        </w:rPr>
        <w:t xml:space="preserve"> in collaborazione con prestigiosi istituti universitari.</w:t>
      </w:r>
    </w:p>
    <w:p w14:paraId="447C4632" w14:textId="77777777" w:rsidR="00847A2C" w:rsidRPr="00FD3AEC" w:rsidRDefault="00847A2C" w:rsidP="00FD3AEC">
      <w:pPr>
        <w:jc w:val="both"/>
        <w:rPr>
          <w:sz w:val="18"/>
          <w:szCs w:val="18"/>
        </w:rPr>
      </w:pPr>
      <w:r w:rsidRPr="00FD3AEC">
        <w:rPr>
          <w:b/>
          <w:bCs/>
          <w:sz w:val="18"/>
          <w:szCs w:val="18"/>
        </w:rPr>
        <w:t>Altro plus esclusivo</w:t>
      </w:r>
      <w:r w:rsidRPr="00FD3AEC">
        <w:rPr>
          <w:sz w:val="18"/>
          <w:szCs w:val="18"/>
        </w:rPr>
        <w:t xml:space="preserve"> del Gruppo RE/MAX, </w:t>
      </w:r>
      <w:r w:rsidRPr="00FD3AEC">
        <w:rPr>
          <w:b/>
          <w:bCs/>
          <w:sz w:val="18"/>
          <w:szCs w:val="18"/>
        </w:rPr>
        <w:t>l’attività svolta dal Centro Studi RE/MAX</w:t>
      </w:r>
      <w:r w:rsidRPr="00FD3AEC">
        <w:rPr>
          <w:sz w:val="18"/>
          <w:szCs w:val="18"/>
        </w:rPr>
        <w:t>, che mette a disposizione del network in tempo reale informazioni qualitative e quantitative, con focus puntuali sull’andamento dei prezzi e sulle tendenze delle diverse aree geografiche e dei desiderata di venditori e compratori.</w:t>
      </w:r>
    </w:p>
    <w:p w14:paraId="6E9DB30B" w14:textId="77777777" w:rsidR="00847A2C" w:rsidRPr="006E7369" w:rsidRDefault="00847A2C" w:rsidP="00FD3AEC">
      <w:pPr>
        <w:keepNext/>
        <w:keepLines/>
        <w:pBdr>
          <w:top w:val="nil"/>
          <w:left w:val="nil"/>
          <w:bottom w:val="nil"/>
          <w:right w:val="nil"/>
          <w:between w:val="nil"/>
        </w:pBdr>
        <w:spacing w:before="400"/>
        <w:rPr>
          <w:b/>
          <w:color w:val="DC1C2E"/>
        </w:rPr>
      </w:pPr>
      <w:r w:rsidRPr="006E7369">
        <w:rPr>
          <w:b/>
          <w:color w:val="DC1C2E"/>
        </w:rPr>
        <w:t xml:space="preserve">Pinkommunication srl - Ufficio stampa RE/MAX Italia </w:t>
      </w:r>
    </w:p>
    <w:p w14:paraId="32EAA6C1" w14:textId="77777777" w:rsidR="00847A2C" w:rsidRPr="006E7369" w:rsidRDefault="00847A2C" w:rsidP="00847A2C">
      <w:pPr>
        <w:rPr>
          <w:color w:val="000000"/>
        </w:rPr>
      </w:pPr>
      <w:r w:rsidRPr="006E7369">
        <w:rPr>
          <w:color w:val="000000"/>
        </w:rPr>
        <w:t xml:space="preserve">Cristina Cortellezzi – Laura Premoli – Claudia Valerani </w:t>
      </w:r>
    </w:p>
    <w:p w14:paraId="6F0C1A65" w14:textId="77777777" w:rsidR="00847A2C" w:rsidRPr="006E7369" w:rsidRDefault="00176105" w:rsidP="00847A2C">
      <w:pPr>
        <w:rPr>
          <w:color w:val="000000"/>
        </w:rPr>
      </w:pPr>
      <w:hyperlink r:id="rId9" w:history="1">
        <w:r w:rsidR="00847A2C" w:rsidRPr="006E7369">
          <w:rPr>
            <w:color w:val="000000"/>
          </w:rPr>
          <w:t>info@pinkommunication.it</w:t>
        </w:r>
      </w:hyperlink>
      <w:r w:rsidR="00847A2C" w:rsidRPr="006E7369">
        <w:rPr>
          <w:color w:val="000000"/>
        </w:rPr>
        <w:t xml:space="preserve"> </w:t>
      </w:r>
    </w:p>
    <w:p w14:paraId="23BEEE0D" w14:textId="04C68575" w:rsidR="00847A2C" w:rsidRPr="00FD3AEC" w:rsidRDefault="00847A2C" w:rsidP="00FD3AEC">
      <w:pPr>
        <w:rPr>
          <w:color w:val="000000"/>
        </w:rPr>
      </w:pPr>
      <w:r w:rsidRPr="006E7369">
        <w:rPr>
          <w:color w:val="000000"/>
        </w:rPr>
        <w:t>T. 02 89077160 – M. 340 1044227</w:t>
      </w:r>
      <w:bookmarkEnd w:id="0"/>
    </w:p>
    <w:sectPr w:rsidR="00847A2C" w:rsidRPr="00FD3AEC">
      <w:headerReference w:type="even" r:id="rId10"/>
      <w:headerReference w:type="default" r:id="rId11"/>
      <w:footerReference w:type="even" r:id="rId12"/>
      <w:footerReference w:type="default" r:id="rId13"/>
      <w:headerReference w:type="first" r:id="rId14"/>
      <w:footerReference w:type="first" r:id="rId15"/>
      <w:pgSz w:w="11906" w:h="16838"/>
      <w:pgMar w:top="1508" w:right="851" w:bottom="1985" w:left="851" w:header="567" w:footer="76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77602" w14:textId="77777777" w:rsidR="000429E7" w:rsidRDefault="000429E7">
      <w:pPr>
        <w:spacing w:line="240" w:lineRule="auto"/>
      </w:pPr>
      <w:r>
        <w:separator/>
      </w:r>
    </w:p>
  </w:endnote>
  <w:endnote w:type="continuationSeparator" w:id="0">
    <w:p w14:paraId="2CE7A83D" w14:textId="77777777" w:rsidR="000429E7" w:rsidRDefault="000429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C85B1" w14:textId="77777777" w:rsidR="00176105" w:rsidRDefault="0017610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869C1" w14:textId="77777777" w:rsidR="00254F59" w:rsidRDefault="00254F59">
    <w:pPr>
      <w:widowControl w:val="0"/>
      <w:pBdr>
        <w:top w:val="nil"/>
        <w:left w:val="nil"/>
        <w:bottom w:val="nil"/>
        <w:right w:val="nil"/>
        <w:between w:val="nil"/>
      </w:pBdr>
      <w:rPr>
        <w:color w:val="626366"/>
        <w:sz w:val="2"/>
        <w:szCs w:val="2"/>
      </w:rPr>
    </w:pPr>
  </w:p>
  <w:tbl>
    <w:tblPr>
      <w:tblStyle w:val="a1"/>
      <w:tblW w:w="10206" w:type="dxa"/>
      <w:tblInd w:w="85" w:type="dxa"/>
      <w:tblBorders>
        <w:top w:val="nil"/>
        <w:left w:val="nil"/>
        <w:bottom w:val="nil"/>
        <w:right w:val="nil"/>
        <w:insideH w:val="nil"/>
        <w:insideV w:val="nil"/>
      </w:tblBorders>
      <w:tblLayout w:type="fixed"/>
      <w:tblLook w:val="0400" w:firstRow="0" w:lastRow="0" w:firstColumn="0" w:lastColumn="0" w:noHBand="0" w:noVBand="1"/>
    </w:tblPr>
    <w:tblGrid>
      <w:gridCol w:w="4374"/>
      <w:gridCol w:w="5832"/>
    </w:tblGrid>
    <w:tr w:rsidR="00254F59" w14:paraId="01C1F73D" w14:textId="77777777">
      <w:tc>
        <w:tcPr>
          <w:tcW w:w="4374" w:type="dxa"/>
        </w:tcPr>
        <w:p w14:paraId="17FDD513" w14:textId="77777777" w:rsidR="00254F59" w:rsidRDefault="00A07502">
          <w:pPr>
            <w:spacing w:before="60" w:line="240" w:lineRule="auto"/>
          </w:pPr>
          <w:r>
            <w:rPr>
              <w:noProof/>
            </w:rPr>
            <w:drawing>
              <wp:inline distT="0" distB="0" distL="0" distR="0" wp14:anchorId="1F2306AE" wp14:editId="1DC3F2D1">
                <wp:extent cx="1044000" cy="1926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4000" cy="192650"/>
                        </a:xfrm>
                        <a:prstGeom prst="rect">
                          <a:avLst/>
                        </a:prstGeom>
                        <a:ln/>
                      </pic:spPr>
                    </pic:pic>
                  </a:graphicData>
                </a:graphic>
              </wp:inline>
            </w:drawing>
          </w:r>
        </w:p>
        <w:p w14:paraId="7FE40A12" w14:textId="07C8A7DF" w:rsidR="00254F59" w:rsidRDefault="00FD3AEC">
          <w:pPr>
            <w:tabs>
              <w:tab w:val="right" w:pos="9923"/>
            </w:tabs>
            <w:spacing w:before="60" w:line="240" w:lineRule="auto"/>
            <w:rPr>
              <w:color w:val="007DC3"/>
              <w:sz w:val="27"/>
              <w:szCs w:val="27"/>
            </w:rPr>
          </w:pPr>
          <w:r>
            <w:rPr>
              <w:color w:val="DC1C2E"/>
              <w:sz w:val="27"/>
              <w:szCs w:val="27"/>
            </w:rPr>
            <w:t>Italia</w:t>
          </w:r>
        </w:p>
      </w:tc>
      <w:tc>
        <w:tcPr>
          <w:tcW w:w="5832" w:type="dxa"/>
          <w:vAlign w:val="bottom"/>
        </w:tcPr>
        <w:p w14:paraId="6A636260" w14:textId="77777777" w:rsidR="00254F59" w:rsidRDefault="00A07502">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EE51C2">
            <w:rPr>
              <w:noProof/>
              <w:color w:val="003DA5"/>
              <w:sz w:val="13"/>
              <w:szCs w:val="13"/>
            </w:rPr>
            <w:t>2</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EE51C2">
            <w:rPr>
              <w:noProof/>
              <w:color w:val="003DA5"/>
              <w:sz w:val="13"/>
              <w:szCs w:val="13"/>
            </w:rPr>
            <w:t>3</w:t>
          </w:r>
          <w:r>
            <w:rPr>
              <w:color w:val="003DA5"/>
              <w:sz w:val="13"/>
              <w:szCs w:val="13"/>
            </w:rPr>
            <w:fldChar w:fldCharType="end"/>
          </w:r>
        </w:p>
      </w:tc>
    </w:tr>
  </w:tbl>
  <w:p w14:paraId="09368407" w14:textId="77777777" w:rsidR="00254F59" w:rsidRDefault="00254F59">
    <w:pPr>
      <w:pBdr>
        <w:top w:val="nil"/>
        <w:left w:val="nil"/>
        <w:bottom w:val="nil"/>
        <w:right w:val="nil"/>
        <w:between w:val="nil"/>
      </w:pBdr>
      <w:spacing w:line="240" w:lineRule="auto"/>
      <w:rPr>
        <w:color w:val="626366"/>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BD1A" w14:textId="77777777" w:rsidR="00254F59" w:rsidRDefault="00254F59">
    <w:pPr>
      <w:widowControl w:val="0"/>
      <w:pBdr>
        <w:top w:val="nil"/>
        <w:left w:val="nil"/>
        <w:bottom w:val="nil"/>
        <w:right w:val="nil"/>
        <w:between w:val="nil"/>
      </w:pBdr>
      <w:rPr>
        <w:b/>
        <w:smallCaps/>
        <w:color w:val="003DA5"/>
      </w:rPr>
    </w:pPr>
  </w:p>
  <w:tbl>
    <w:tblPr>
      <w:tblStyle w:val="a0"/>
      <w:tblW w:w="10206" w:type="dxa"/>
      <w:tblInd w:w="85" w:type="dxa"/>
      <w:tblBorders>
        <w:top w:val="nil"/>
        <w:left w:val="nil"/>
        <w:bottom w:val="nil"/>
        <w:right w:val="nil"/>
        <w:insideH w:val="nil"/>
        <w:insideV w:val="nil"/>
      </w:tblBorders>
      <w:tblLayout w:type="fixed"/>
      <w:tblLook w:val="0400" w:firstRow="0" w:lastRow="0" w:firstColumn="0" w:lastColumn="0" w:noHBand="0" w:noVBand="1"/>
    </w:tblPr>
    <w:tblGrid>
      <w:gridCol w:w="4374"/>
      <w:gridCol w:w="5832"/>
    </w:tblGrid>
    <w:tr w:rsidR="00254F59" w14:paraId="1FF3440D" w14:textId="77777777">
      <w:tc>
        <w:tcPr>
          <w:tcW w:w="4374" w:type="dxa"/>
        </w:tcPr>
        <w:p w14:paraId="0494533C" w14:textId="77777777" w:rsidR="00254F59" w:rsidRDefault="00A07502">
          <w:pPr>
            <w:spacing w:before="60" w:line="240" w:lineRule="auto"/>
          </w:pPr>
          <w:r>
            <w:rPr>
              <w:noProof/>
            </w:rPr>
            <w:drawing>
              <wp:inline distT="0" distB="0" distL="0" distR="0" wp14:anchorId="1CC6ADF9" wp14:editId="0D0CE5AA">
                <wp:extent cx="1044000" cy="1926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4000" cy="192650"/>
                        </a:xfrm>
                        <a:prstGeom prst="rect">
                          <a:avLst/>
                        </a:prstGeom>
                        <a:ln/>
                      </pic:spPr>
                    </pic:pic>
                  </a:graphicData>
                </a:graphic>
              </wp:inline>
            </w:drawing>
          </w:r>
        </w:p>
        <w:p w14:paraId="4949CE88" w14:textId="62DDD73C" w:rsidR="00254F59" w:rsidRDefault="00595112">
          <w:pPr>
            <w:tabs>
              <w:tab w:val="right" w:pos="9923"/>
            </w:tabs>
            <w:spacing w:before="60" w:line="240" w:lineRule="auto"/>
            <w:rPr>
              <w:color w:val="007DC3"/>
              <w:sz w:val="27"/>
              <w:szCs w:val="27"/>
            </w:rPr>
          </w:pPr>
          <w:r>
            <w:rPr>
              <w:color w:val="DC1C2E"/>
              <w:sz w:val="27"/>
              <w:szCs w:val="27"/>
            </w:rPr>
            <w:t>Italia</w:t>
          </w:r>
        </w:p>
      </w:tc>
      <w:tc>
        <w:tcPr>
          <w:tcW w:w="5832" w:type="dxa"/>
          <w:vAlign w:val="bottom"/>
        </w:tcPr>
        <w:p w14:paraId="2F8517EA" w14:textId="77777777" w:rsidR="00254F59" w:rsidRDefault="00A07502">
          <w:pPr>
            <w:pBdr>
              <w:top w:val="nil"/>
              <w:left w:val="nil"/>
              <w:bottom w:val="nil"/>
              <w:right w:val="nil"/>
              <w:between w:val="nil"/>
            </w:pBdr>
            <w:tabs>
              <w:tab w:val="left" w:pos="0"/>
              <w:tab w:val="right" w:pos="9561"/>
              <w:tab w:val="right" w:pos="9921"/>
            </w:tabs>
            <w:spacing w:after="60" w:line="240" w:lineRule="auto"/>
            <w:jc w:val="right"/>
            <w:rPr>
              <w:color w:val="003DA5"/>
              <w:sz w:val="13"/>
              <w:szCs w:val="13"/>
            </w:rPr>
          </w:pPr>
          <w:r>
            <w:rPr>
              <w:color w:val="003DA5"/>
              <w:sz w:val="13"/>
              <w:szCs w:val="13"/>
            </w:rPr>
            <w:fldChar w:fldCharType="begin"/>
          </w:r>
          <w:r>
            <w:rPr>
              <w:color w:val="003DA5"/>
              <w:sz w:val="13"/>
              <w:szCs w:val="13"/>
            </w:rPr>
            <w:instrText>PAGE</w:instrText>
          </w:r>
          <w:r>
            <w:rPr>
              <w:color w:val="003DA5"/>
              <w:sz w:val="13"/>
              <w:szCs w:val="13"/>
            </w:rPr>
            <w:fldChar w:fldCharType="separate"/>
          </w:r>
          <w:r w:rsidR="00EE51C2">
            <w:rPr>
              <w:noProof/>
              <w:color w:val="003DA5"/>
              <w:sz w:val="13"/>
              <w:szCs w:val="13"/>
            </w:rPr>
            <w:t>1</w:t>
          </w:r>
          <w:r>
            <w:rPr>
              <w:color w:val="003DA5"/>
              <w:sz w:val="13"/>
              <w:szCs w:val="13"/>
            </w:rPr>
            <w:fldChar w:fldCharType="end"/>
          </w:r>
          <w:r>
            <w:rPr>
              <w:color w:val="003DA5"/>
              <w:sz w:val="13"/>
              <w:szCs w:val="13"/>
            </w:rPr>
            <w:t xml:space="preserve"> / </w:t>
          </w:r>
          <w:r>
            <w:rPr>
              <w:color w:val="003DA5"/>
              <w:sz w:val="13"/>
              <w:szCs w:val="13"/>
            </w:rPr>
            <w:fldChar w:fldCharType="begin"/>
          </w:r>
          <w:r>
            <w:rPr>
              <w:color w:val="003DA5"/>
              <w:sz w:val="13"/>
              <w:szCs w:val="13"/>
            </w:rPr>
            <w:instrText>NUMPAGES</w:instrText>
          </w:r>
          <w:r>
            <w:rPr>
              <w:color w:val="003DA5"/>
              <w:sz w:val="13"/>
              <w:szCs w:val="13"/>
            </w:rPr>
            <w:fldChar w:fldCharType="separate"/>
          </w:r>
          <w:r w:rsidR="00EE51C2">
            <w:rPr>
              <w:noProof/>
              <w:color w:val="003DA5"/>
              <w:sz w:val="13"/>
              <w:szCs w:val="13"/>
            </w:rPr>
            <w:t>2</w:t>
          </w:r>
          <w:r>
            <w:rPr>
              <w:color w:val="003DA5"/>
              <w:sz w:val="13"/>
              <w:szCs w:val="13"/>
            </w:rPr>
            <w:fldChar w:fldCharType="end"/>
          </w:r>
        </w:p>
      </w:tc>
    </w:tr>
  </w:tbl>
  <w:p w14:paraId="52866A9B" w14:textId="77777777" w:rsidR="00254F59" w:rsidRDefault="00254F59">
    <w:pPr>
      <w:pBdr>
        <w:top w:val="nil"/>
        <w:left w:val="nil"/>
        <w:bottom w:val="nil"/>
        <w:right w:val="nil"/>
        <w:between w:val="nil"/>
      </w:pBdr>
      <w:spacing w:line="240" w:lineRule="auto"/>
      <w:rPr>
        <w:color w:val="626366"/>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652C9" w14:textId="77777777" w:rsidR="000429E7" w:rsidRDefault="000429E7">
      <w:pPr>
        <w:spacing w:line="240" w:lineRule="auto"/>
      </w:pPr>
      <w:r>
        <w:separator/>
      </w:r>
    </w:p>
  </w:footnote>
  <w:footnote w:type="continuationSeparator" w:id="0">
    <w:p w14:paraId="6D0D7A7B" w14:textId="77777777" w:rsidR="000429E7" w:rsidRDefault="000429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C41D9" w14:textId="77777777" w:rsidR="00176105" w:rsidRDefault="0017610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C6A36" w14:textId="77777777" w:rsidR="00254F59" w:rsidRDefault="00A07502">
    <w:pPr>
      <w:pBdr>
        <w:top w:val="nil"/>
        <w:left w:val="nil"/>
        <w:bottom w:val="nil"/>
        <w:right w:val="nil"/>
        <w:between w:val="nil"/>
      </w:pBdr>
      <w:tabs>
        <w:tab w:val="center" w:pos="4536"/>
        <w:tab w:val="right" w:pos="9356"/>
      </w:tabs>
      <w:spacing w:after="620"/>
      <w:rPr>
        <w:b/>
        <w:smallCaps/>
        <w:color w:val="003DA5"/>
      </w:rPr>
    </w:pPr>
    <w:r>
      <w:rPr>
        <w:b/>
        <w:smallCaps/>
        <w:noProof/>
        <w:color w:val="003DA5"/>
      </w:rPr>
      <w:drawing>
        <wp:anchor distT="0" distB="0" distL="0" distR="0" simplePos="0" relativeHeight="251658240" behindDoc="1" locked="0" layoutInCell="1" hidden="0" allowOverlap="1" wp14:anchorId="77967300" wp14:editId="61C6B538">
          <wp:simplePos x="0" y="0"/>
          <wp:positionH relativeFrom="page">
            <wp:posOffset>5832475</wp:posOffset>
          </wp:positionH>
          <wp:positionV relativeFrom="page">
            <wp:posOffset>334645</wp:posOffset>
          </wp:positionV>
          <wp:extent cx="1270800" cy="16128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70800" cy="1612800"/>
                  </a:xfrm>
                  <a:prstGeom prst="rect">
                    <a:avLst/>
                  </a:prstGeom>
                  <a:ln/>
                </pic:spPr>
              </pic:pic>
            </a:graphicData>
          </a:graphic>
        </wp:anchor>
      </w:drawing>
    </w:r>
  </w:p>
  <w:p w14:paraId="6B560EC2" w14:textId="77777777" w:rsidR="00FD3AEC" w:rsidRPr="00D2484F" w:rsidRDefault="00FD3AEC" w:rsidP="00FD3AEC">
    <w:pPr>
      <w:pBdr>
        <w:top w:val="nil"/>
        <w:left w:val="nil"/>
        <w:bottom w:val="nil"/>
        <w:right w:val="nil"/>
        <w:between w:val="nil"/>
      </w:pBdr>
      <w:spacing w:line="204" w:lineRule="auto"/>
      <w:ind w:right="1418"/>
      <w:rPr>
        <w:b/>
        <w:color w:val="003DA5"/>
        <w:sz w:val="44"/>
        <w:szCs w:val="44"/>
      </w:rPr>
    </w:pPr>
    <w:r w:rsidRPr="00D2484F">
      <w:rPr>
        <w:b/>
        <w:color w:val="003DA5"/>
        <w:sz w:val="44"/>
        <w:szCs w:val="44"/>
      </w:rPr>
      <w:t xml:space="preserve">Comunicato </w:t>
    </w:r>
  </w:p>
  <w:p w14:paraId="5F811978" w14:textId="77777777" w:rsidR="00FD3AEC" w:rsidRPr="00D2484F" w:rsidRDefault="00FD3AEC" w:rsidP="00FD3AEC">
    <w:pPr>
      <w:pBdr>
        <w:top w:val="nil"/>
        <w:left w:val="nil"/>
        <w:bottom w:val="nil"/>
        <w:right w:val="nil"/>
        <w:between w:val="nil"/>
      </w:pBdr>
      <w:spacing w:after="680" w:line="204" w:lineRule="auto"/>
      <w:ind w:right="1418"/>
      <w:rPr>
        <w:b/>
        <w:color w:val="DC1C2E"/>
        <w:sz w:val="44"/>
        <w:szCs w:val="44"/>
      </w:rPr>
    </w:pPr>
    <w:r w:rsidRPr="00D2484F">
      <w:rPr>
        <w:b/>
        <w:color w:val="DC1C2E"/>
        <w:sz w:val="44"/>
        <w:szCs w:val="44"/>
      </w:rPr>
      <w:t>Stampa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A742A" w14:textId="07710217" w:rsidR="00254F59" w:rsidRDefault="00A07502">
    <w:pPr>
      <w:pBdr>
        <w:top w:val="nil"/>
        <w:left w:val="nil"/>
        <w:bottom w:val="nil"/>
        <w:right w:val="nil"/>
        <w:between w:val="nil"/>
      </w:pBdr>
      <w:tabs>
        <w:tab w:val="center" w:pos="4536"/>
        <w:tab w:val="right" w:pos="9356"/>
      </w:tabs>
      <w:rPr>
        <w:b/>
        <w:smallCaps/>
        <w:color w:val="003DA5"/>
      </w:rPr>
    </w:pPr>
    <w:r>
      <w:rPr>
        <w:b/>
        <w:smallCaps/>
        <w:noProof/>
        <w:color w:val="003DA5"/>
      </w:rPr>
      <w:drawing>
        <wp:anchor distT="0" distB="0" distL="0" distR="0" simplePos="0" relativeHeight="251659264" behindDoc="1" locked="0" layoutInCell="1" hidden="0" allowOverlap="1" wp14:anchorId="0146F8D9" wp14:editId="1AC543CC">
          <wp:simplePos x="0" y="0"/>
          <wp:positionH relativeFrom="page">
            <wp:posOffset>5832475</wp:posOffset>
          </wp:positionH>
          <wp:positionV relativeFrom="page">
            <wp:posOffset>334645</wp:posOffset>
          </wp:positionV>
          <wp:extent cx="1270800" cy="16128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70800" cy="1612800"/>
                  </a:xfrm>
                  <a:prstGeom prst="rect">
                    <a:avLst/>
                  </a:prstGeom>
                  <a:ln/>
                </pic:spPr>
              </pic:pic>
            </a:graphicData>
          </a:graphic>
        </wp:anchor>
      </w:drawing>
    </w:r>
    <w:r w:rsidR="00176105">
      <w:rPr>
        <w:b/>
        <w:smallCaps/>
        <w:noProof/>
        <w:color w:val="003DA5"/>
      </w:rPr>
      <w:t>1 Dicembre</w:t>
    </w:r>
    <w:bookmarkStart w:id="2" w:name="_GoBack"/>
    <w:bookmarkEnd w:id="2"/>
    <w:r w:rsidR="006E7369">
      <w:rPr>
        <w:b/>
        <w:smallCaps/>
        <w:color w:val="003DA5"/>
      </w:rPr>
      <w:t xml:space="preserve">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59"/>
    <w:rsid w:val="000429E7"/>
    <w:rsid w:val="00046677"/>
    <w:rsid w:val="0009059D"/>
    <w:rsid w:val="000E0D1A"/>
    <w:rsid w:val="000F2709"/>
    <w:rsid w:val="00153CAF"/>
    <w:rsid w:val="00176105"/>
    <w:rsid w:val="001C70CB"/>
    <w:rsid w:val="00254F59"/>
    <w:rsid w:val="00302F6F"/>
    <w:rsid w:val="00423EF8"/>
    <w:rsid w:val="0043773F"/>
    <w:rsid w:val="004C7685"/>
    <w:rsid w:val="004E14EA"/>
    <w:rsid w:val="004E4DE8"/>
    <w:rsid w:val="00530642"/>
    <w:rsid w:val="00563894"/>
    <w:rsid w:val="00572492"/>
    <w:rsid w:val="00573349"/>
    <w:rsid w:val="00595112"/>
    <w:rsid w:val="0059736D"/>
    <w:rsid w:val="00610642"/>
    <w:rsid w:val="006B6A6F"/>
    <w:rsid w:val="006D5E96"/>
    <w:rsid w:val="006E7369"/>
    <w:rsid w:val="006F3EE8"/>
    <w:rsid w:val="00847A2C"/>
    <w:rsid w:val="008D60B2"/>
    <w:rsid w:val="008D7061"/>
    <w:rsid w:val="00900F78"/>
    <w:rsid w:val="00934BBF"/>
    <w:rsid w:val="009457A8"/>
    <w:rsid w:val="00971937"/>
    <w:rsid w:val="009D4FFB"/>
    <w:rsid w:val="00A07502"/>
    <w:rsid w:val="00A926B8"/>
    <w:rsid w:val="00B456D8"/>
    <w:rsid w:val="00BC480A"/>
    <w:rsid w:val="00C15471"/>
    <w:rsid w:val="00CA7F12"/>
    <w:rsid w:val="00D1476C"/>
    <w:rsid w:val="00D2251D"/>
    <w:rsid w:val="00D2484F"/>
    <w:rsid w:val="00D43A64"/>
    <w:rsid w:val="00ED253E"/>
    <w:rsid w:val="00EE51C2"/>
    <w:rsid w:val="00F25ED5"/>
    <w:rsid w:val="00F35ACD"/>
    <w:rsid w:val="00F86A19"/>
    <w:rsid w:val="00FA289B"/>
    <w:rsid w:val="00FD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6A7CA"/>
  <w15:docId w15:val="{BF2D39D3-885D-4977-8E36-6DC487C6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it-IT"/>
    </w:rPr>
  </w:style>
  <w:style w:type="paragraph" w:styleId="Titolo1">
    <w:name w:val="heading 1"/>
    <w:basedOn w:val="Normale"/>
    <w:next w:val="Normale"/>
    <w:uiPriority w:val="9"/>
    <w:qFormat/>
    <w:pPr>
      <w:keepNext/>
      <w:spacing w:before="280"/>
      <w:outlineLvl w:val="0"/>
    </w:pPr>
    <w:rPr>
      <w:b/>
      <w:color w:val="004A99"/>
      <w:sz w:val="22"/>
      <w:szCs w:val="22"/>
    </w:rPr>
  </w:style>
  <w:style w:type="paragraph" w:styleId="Titolo2">
    <w:name w:val="heading 2"/>
    <w:basedOn w:val="Normale"/>
    <w:next w:val="Normale"/>
    <w:uiPriority w:val="9"/>
    <w:semiHidden/>
    <w:unhideWhenUsed/>
    <w:qFormat/>
    <w:pPr>
      <w:keepNext/>
      <w:keepLines/>
      <w:spacing w:before="240"/>
      <w:outlineLvl w:val="1"/>
    </w:pPr>
    <w:rPr>
      <w:b/>
      <w:color w:val="004A99"/>
    </w:rPr>
  </w:style>
  <w:style w:type="paragraph" w:styleId="Titolo3">
    <w:name w:val="heading 3"/>
    <w:basedOn w:val="Normale"/>
    <w:next w:val="Normale"/>
    <w:uiPriority w:val="9"/>
    <w:semiHidden/>
    <w:unhideWhenUsed/>
    <w:qFormat/>
    <w:pPr>
      <w:keepNext/>
      <w:keepLines/>
      <w:spacing w:before="240"/>
      <w:outlineLvl w:val="2"/>
    </w:pPr>
    <w:rPr>
      <w:b/>
      <w:color w:val="007DC3"/>
    </w:rPr>
  </w:style>
  <w:style w:type="paragraph" w:styleId="Titolo4">
    <w:name w:val="heading 4"/>
    <w:basedOn w:val="Normale"/>
    <w:next w:val="Normale"/>
    <w:uiPriority w:val="9"/>
    <w:semiHidden/>
    <w:unhideWhenUsed/>
    <w:qFormat/>
    <w:pPr>
      <w:keepNext/>
      <w:keepLines/>
      <w:spacing w:before="240" w:after="120"/>
      <w:ind w:left="864" w:hanging="864"/>
      <w:outlineLvl w:val="3"/>
    </w:pPr>
    <w:rPr>
      <w:b/>
      <w:color w:val="404041"/>
    </w:rPr>
  </w:style>
  <w:style w:type="paragraph" w:styleId="Titolo5">
    <w:name w:val="heading 5"/>
    <w:basedOn w:val="Normale"/>
    <w:next w:val="Normale"/>
    <w:uiPriority w:val="9"/>
    <w:semiHidden/>
    <w:unhideWhenUsed/>
    <w:qFormat/>
    <w:pPr>
      <w:keepNext/>
      <w:keepLines/>
      <w:spacing w:before="200"/>
      <w:ind w:left="1008" w:hanging="1008"/>
      <w:outlineLvl w:val="4"/>
    </w:pPr>
    <w:rPr>
      <w:color w:val="6D0D16"/>
    </w:rPr>
  </w:style>
  <w:style w:type="paragraph" w:styleId="Titolo6">
    <w:name w:val="heading 6"/>
    <w:basedOn w:val="Normale"/>
    <w:next w:val="Normale"/>
    <w:uiPriority w:val="9"/>
    <w:semiHidden/>
    <w:unhideWhenUsed/>
    <w:qFormat/>
    <w:pPr>
      <w:keepNext/>
      <w:keepLines/>
      <w:spacing w:before="200"/>
      <w:ind w:left="1152" w:hanging="1152"/>
      <w:outlineLvl w:val="5"/>
    </w:pPr>
    <w:rPr>
      <w:i/>
      <w:color w:val="6D0D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spacing w:before="1560" w:line="240" w:lineRule="auto"/>
    </w:pPr>
    <w:rPr>
      <w:b/>
      <w:color w:val="DB0812"/>
      <w:sz w:val="74"/>
      <w:szCs w:val="74"/>
    </w:rPr>
  </w:style>
  <w:style w:type="paragraph" w:styleId="Sottotitolo">
    <w:name w:val="Subtitle"/>
    <w:basedOn w:val="Normale"/>
    <w:next w:val="Normale"/>
    <w:uiPriority w:val="11"/>
    <w:qFormat/>
    <w:pPr>
      <w:spacing w:line="240" w:lineRule="auto"/>
    </w:pPr>
    <w:rPr>
      <w:b/>
      <w:color w:val="004A99"/>
      <w:sz w:val="74"/>
      <w:szCs w:val="74"/>
    </w:rPr>
  </w:style>
  <w:style w:type="table" w:customStyle="1" w:styleId="a">
    <w:basedOn w:val="Tabellanormale"/>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ellanormale"/>
    <w:tblPr>
      <w:tblStyleRowBandSize w:val="1"/>
      <w:tblStyleColBandSize w:val="1"/>
      <w:tblCellMar>
        <w:top w:w="85" w:type="dxa"/>
        <w:left w:w="0" w:type="dxa"/>
        <w:bottom w:w="57" w:type="dxa"/>
        <w:right w:w="0" w:type="dxa"/>
      </w:tblCellMar>
    </w:tblPr>
  </w:style>
  <w:style w:type="table" w:customStyle="1" w:styleId="a1">
    <w:basedOn w:val="Tabellanormale"/>
    <w:tblPr>
      <w:tblStyleRowBandSize w:val="1"/>
      <w:tblStyleColBandSize w:val="1"/>
      <w:tblCellMar>
        <w:top w:w="85" w:type="dxa"/>
        <w:left w:w="0" w:type="dxa"/>
        <w:bottom w:w="57" w:type="dxa"/>
        <w:right w:w="0" w:type="dxa"/>
      </w:tblCellMar>
    </w:tblPr>
  </w:style>
  <w:style w:type="table" w:styleId="Grigliatabella">
    <w:name w:val="Table Grid"/>
    <w:basedOn w:val="Tabellanormale"/>
    <w:uiPriority w:val="39"/>
    <w:rsid w:val="00EE51C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9059D"/>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9059D"/>
    <w:rPr>
      <w:rFonts w:ascii="Segoe UI" w:hAnsi="Segoe UI" w:cs="Segoe UI"/>
      <w:sz w:val="18"/>
      <w:szCs w:val="18"/>
    </w:rPr>
  </w:style>
  <w:style w:type="paragraph" w:styleId="Corpotesto">
    <w:name w:val="Body Text"/>
    <w:basedOn w:val="Normale"/>
    <w:link w:val="CorpotestoCarattere"/>
    <w:uiPriority w:val="1"/>
    <w:qFormat/>
    <w:rsid w:val="006D5E96"/>
    <w:pPr>
      <w:widowControl w:val="0"/>
      <w:autoSpaceDE w:val="0"/>
      <w:autoSpaceDN w:val="0"/>
      <w:spacing w:line="240" w:lineRule="auto"/>
    </w:pPr>
    <w:rPr>
      <w:rFonts w:ascii="Arial MT" w:eastAsia="Arial MT" w:hAnsi="Arial MT" w:cs="Arial MT"/>
    </w:rPr>
  </w:style>
  <w:style w:type="character" w:customStyle="1" w:styleId="CorpotestoCarattere">
    <w:name w:val="Corpo testo Carattere"/>
    <w:basedOn w:val="Carpredefinitoparagrafo"/>
    <w:link w:val="Corpotesto"/>
    <w:uiPriority w:val="1"/>
    <w:rsid w:val="006D5E96"/>
    <w:rPr>
      <w:rFonts w:ascii="Arial MT" w:eastAsia="Arial MT" w:hAnsi="Arial MT" w:cs="Arial MT"/>
    </w:rPr>
  </w:style>
  <w:style w:type="paragraph" w:customStyle="1" w:styleId="TableParagraph">
    <w:name w:val="Table Paragraph"/>
    <w:basedOn w:val="Normale"/>
    <w:uiPriority w:val="1"/>
    <w:qFormat/>
    <w:rsid w:val="00847A2C"/>
    <w:pPr>
      <w:widowControl w:val="0"/>
      <w:autoSpaceDE w:val="0"/>
      <w:autoSpaceDN w:val="0"/>
      <w:spacing w:before="54" w:line="240" w:lineRule="auto"/>
      <w:jc w:val="right"/>
    </w:pPr>
    <w:rPr>
      <w:sz w:val="22"/>
      <w:szCs w:val="22"/>
    </w:rPr>
  </w:style>
  <w:style w:type="paragraph" w:customStyle="1" w:styleId="Default">
    <w:name w:val="Default"/>
    <w:rsid w:val="00847A2C"/>
    <w:pPr>
      <w:autoSpaceDE w:val="0"/>
      <w:autoSpaceDN w:val="0"/>
      <w:adjustRightInd w:val="0"/>
      <w:spacing w:line="240" w:lineRule="auto"/>
    </w:pPr>
    <w:rPr>
      <w:rFonts w:ascii="Calibri" w:eastAsiaTheme="minorHAnsi" w:hAnsi="Calibri" w:cs="Calibri"/>
      <w:color w:val="000000"/>
      <w:sz w:val="24"/>
      <w:szCs w:val="24"/>
      <w:lang w:val="it-IT"/>
    </w:rPr>
  </w:style>
  <w:style w:type="paragraph" w:styleId="Testonormale">
    <w:name w:val="Plain Text"/>
    <w:basedOn w:val="Normale"/>
    <w:link w:val="TestonormaleCarattere"/>
    <w:uiPriority w:val="99"/>
    <w:unhideWhenUsed/>
    <w:rsid w:val="00847A2C"/>
    <w:pPr>
      <w:spacing w:line="240" w:lineRule="auto"/>
    </w:pPr>
    <w:rPr>
      <w:rFonts w:ascii="Calibri" w:eastAsiaTheme="minorHAnsi" w:hAnsi="Calibri" w:cs="Consolas"/>
      <w:sz w:val="22"/>
      <w:szCs w:val="21"/>
    </w:rPr>
  </w:style>
  <w:style w:type="character" w:customStyle="1" w:styleId="TestonormaleCarattere">
    <w:name w:val="Testo normale Carattere"/>
    <w:basedOn w:val="Carpredefinitoparagrafo"/>
    <w:link w:val="Testonormale"/>
    <w:uiPriority w:val="99"/>
    <w:rsid w:val="00847A2C"/>
    <w:rPr>
      <w:rFonts w:ascii="Calibri" w:eastAsiaTheme="minorHAnsi" w:hAnsi="Calibri" w:cs="Consolas"/>
      <w:sz w:val="22"/>
      <w:szCs w:val="21"/>
      <w:lang w:val="it-IT"/>
    </w:rPr>
  </w:style>
  <w:style w:type="paragraph" w:styleId="Intestazione">
    <w:name w:val="header"/>
    <w:basedOn w:val="Normale"/>
    <w:link w:val="IntestazioneCarattere"/>
    <w:uiPriority w:val="99"/>
    <w:unhideWhenUsed/>
    <w:rsid w:val="006E736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E7369"/>
  </w:style>
  <w:style w:type="paragraph" w:styleId="Pidipagina">
    <w:name w:val="footer"/>
    <w:basedOn w:val="Normale"/>
    <w:link w:val="PidipaginaCarattere"/>
    <w:uiPriority w:val="99"/>
    <w:unhideWhenUsed/>
    <w:rsid w:val="006E736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6E7369"/>
  </w:style>
  <w:style w:type="paragraph" w:styleId="Revisione">
    <w:name w:val="Revision"/>
    <w:hidden/>
    <w:uiPriority w:val="99"/>
    <w:semiHidden/>
    <w:rsid w:val="00302F6F"/>
    <w:pPr>
      <w:spacing w:line="240" w:lineRule="auto"/>
    </w:pPr>
    <w:rPr>
      <w:lang w:val="it-IT"/>
    </w:rPr>
  </w:style>
  <w:style w:type="character" w:styleId="Collegamentoipertestuale">
    <w:name w:val="Hyperlink"/>
    <w:basedOn w:val="Carpredefinitoparagrafo"/>
    <w:uiPriority w:val="99"/>
    <w:unhideWhenUsed/>
    <w:rsid w:val="004C7685"/>
    <w:rPr>
      <w:color w:val="0000FF" w:themeColor="hyperlink"/>
      <w:u w:val="single"/>
    </w:rPr>
  </w:style>
  <w:style w:type="character" w:styleId="Menzionenonrisolta">
    <w:name w:val="Unresolved Mention"/>
    <w:basedOn w:val="Carpredefinitoparagrafo"/>
    <w:uiPriority w:val="99"/>
    <w:semiHidden/>
    <w:unhideWhenUsed/>
    <w:rsid w:val="004C7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673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er-75022683325.cld.bz/RE-MAX-EUROPEAN-TREND-202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REMAX.I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pinkommunication.i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6E0C7-99EC-424B-BDC4-271C7111A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1147</Words>
  <Characters>6539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 Premoli</cp:lastModifiedBy>
  <cp:revision>7</cp:revision>
  <dcterms:created xsi:type="dcterms:W3CDTF">2022-11-28T13:09:00Z</dcterms:created>
  <dcterms:modified xsi:type="dcterms:W3CDTF">2022-12-01T14:47:00Z</dcterms:modified>
</cp:coreProperties>
</file>