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FFB0F" w14:textId="290BC2D9" w:rsidR="004D2E48" w:rsidRPr="008F096D" w:rsidRDefault="008F096D" w:rsidP="000C6AC2">
      <w:pPr>
        <w:pBdr>
          <w:top w:val="nil"/>
          <w:left w:val="nil"/>
          <w:bottom w:val="nil"/>
          <w:right w:val="nil"/>
          <w:between w:val="nil"/>
        </w:pBdr>
        <w:jc w:val="both"/>
        <w:rPr>
          <w:b/>
          <w:bCs/>
          <w:color w:val="DC1C2E"/>
          <w:sz w:val="28"/>
          <w:szCs w:val="28"/>
          <w:lang w:val="it-IT"/>
        </w:rPr>
      </w:pPr>
      <w:r w:rsidRPr="008F096D">
        <w:rPr>
          <w:b/>
          <w:bCs/>
          <w:color w:val="DC1C2E"/>
          <w:sz w:val="28"/>
          <w:szCs w:val="28"/>
          <w:lang w:val="it-IT"/>
        </w:rPr>
        <w:t>Milano è la città italiana in cui vengono venduti più monolocali. Complessivamente</w:t>
      </w:r>
      <w:r w:rsidR="0001604F">
        <w:rPr>
          <w:b/>
          <w:bCs/>
          <w:color w:val="DC1C2E"/>
          <w:sz w:val="28"/>
          <w:szCs w:val="28"/>
          <w:lang w:val="it-IT"/>
        </w:rPr>
        <w:t>,</w:t>
      </w:r>
      <w:r w:rsidRPr="008F096D">
        <w:rPr>
          <w:b/>
          <w:bCs/>
          <w:color w:val="DC1C2E"/>
          <w:sz w:val="28"/>
          <w:szCs w:val="28"/>
          <w:lang w:val="it-IT"/>
        </w:rPr>
        <w:t xml:space="preserve"> la Lombardia registra il maggior numero di </w:t>
      </w:r>
      <w:r w:rsidR="0001604F">
        <w:rPr>
          <w:b/>
          <w:bCs/>
          <w:color w:val="DC1C2E"/>
          <w:sz w:val="28"/>
          <w:szCs w:val="28"/>
          <w:lang w:val="it-IT"/>
        </w:rPr>
        <w:t>compravendite</w:t>
      </w:r>
      <w:r w:rsidRPr="008F096D">
        <w:rPr>
          <w:b/>
          <w:bCs/>
          <w:color w:val="DC1C2E"/>
          <w:sz w:val="28"/>
          <w:szCs w:val="28"/>
          <w:lang w:val="it-IT"/>
        </w:rPr>
        <w:t xml:space="preserve"> a livello nazionale.</w:t>
      </w:r>
    </w:p>
    <w:p w14:paraId="136172F9" w14:textId="77777777" w:rsidR="00C60122" w:rsidRDefault="00C60122" w:rsidP="00C60122">
      <w:pPr>
        <w:pBdr>
          <w:top w:val="nil"/>
          <w:left w:val="nil"/>
          <w:bottom w:val="nil"/>
          <w:right w:val="nil"/>
          <w:between w:val="nil"/>
        </w:pBdr>
        <w:jc w:val="both"/>
        <w:rPr>
          <w:b/>
          <w:bCs/>
          <w:i/>
          <w:iCs/>
          <w:color w:val="003DA5"/>
          <w:sz w:val="22"/>
          <w:szCs w:val="22"/>
          <w:lang w:val="it-IT"/>
        </w:rPr>
      </w:pPr>
      <w:r>
        <w:rPr>
          <w:b/>
          <w:bCs/>
          <w:i/>
          <w:iCs/>
          <w:color w:val="003DA5"/>
          <w:sz w:val="22"/>
          <w:szCs w:val="22"/>
          <w:lang w:val="it-IT"/>
        </w:rPr>
        <w:t>Questo quanto emerge dal</w:t>
      </w:r>
      <w:r w:rsidRPr="00E5794B">
        <w:rPr>
          <w:b/>
          <w:bCs/>
          <w:i/>
          <w:iCs/>
          <w:color w:val="003DA5"/>
          <w:sz w:val="22"/>
          <w:szCs w:val="22"/>
          <w:lang w:val="it-IT"/>
        </w:rPr>
        <w:t xml:space="preserve"> Report Real Estate DATA HUB Q3 2022</w:t>
      </w:r>
      <w:r>
        <w:rPr>
          <w:b/>
          <w:bCs/>
          <w:i/>
          <w:iCs/>
          <w:color w:val="003DA5"/>
          <w:sz w:val="22"/>
          <w:szCs w:val="22"/>
          <w:lang w:val="it-IT"/>
        </w:rPr>
        <w:t xml:space="preserve"> realizzato da RE/MAX Italia, Avalon Real Estate e 24MAX</w:t>
      </w:r>
      <w:r w:rsidRPr="00E5794B">
        <w:rPr>
          <w:b/>
          <w:bCs/>
          <w:i/>
          <w:iCs/>
          <w:color w:val="003DA5"/>
          <w:sz w:val="22"/>
          <w:szCs w:val="22"/>
          <w:lang w:val="it-IT"/>
        </w:rPr>
        <w:t>, con il mattone che si conferma bene rifugio contro l’inflazione</w:t>
      </w:r>
    </w:p>
    <w:p w14:paraId="4F56BB69" w14:textId="77777777" w:rsidR="004D2E48" w:rsidRDefault="004D2E48" w:rsidP="004D2E48">
      <w:pPr>
        <w:pBdr>
          <w:top w:val="nil"/>
          <w:left w:val="nil"/>
          <w:bottom w:val="nil"/>
          <w:right w:val="nil"/>
          <w:between w:val="nil"/>
        </w:pBdr>
        <w:jc w:val="both"/>
        <w:rPr>
          <w:lang w:val="it-IT"/>
        </w:rPr>
      </w:pPr>
    </w:p>
    <w:p w14:paraId="225245E8" w14:textId="00883AC1" w:rsidR="00255B28" w:rsidRDefault="00C0242F" w:rsidP="00690B13">
      <w:pPr>
        <w:pBdr>
          <w:top w:val="nil"/>
          <w:left w:val="nil"/>
          <w:bottom w:val="nil"/>
          <w:right w:val="nil"/>
          <w:between w:val="nil"/>
        </w:pBdr>
        <w:jc w:val="both"/>
        <w:rPr>
          <w:lang w:val="it-IT"/>
        </w:rPr>
      </w:pPr>
      <w:r>
        <w:rPr>
          <w:lang w:val="it-IT"/>
        </w:rPr>
        <w:t xml:space="preserve">Le compravendite immobiliari </w:t>
      </w:r>
      <w:r w:rsidRPr="0023689E">
        <w:rPr>
          <w:b/>
          <w:bCs/>
          <w:lang w:val="it-IT"/>
        </w:rPr>
        <w:t xml:space="preserve">in </w:t>
      </w:r>
      <w:r w:rsidR="00690B13" w:rsidRPr="0023689E">
        <w:rPr>
          <w:b/>
          <w:bCs/>
          <w:lang w:val="it-IT"/>
        </w:rPr>
        <w:t xml:space="preserve">Lombardia </w:t>
      </w:r>
      <w:r w:rsidRPr="00255B28">
        <w:rPr>
          <w:lang w:val="it-IT"/>
        </w:rPr>
        <w:t>ha</w:t>
      </w:r>
      <w:r>
        <w:rPr>
          <w:lang w:val="it-IT"/>
        </w:rPr>
        <w:t>nno</w:t>
      </w:r>
      <w:r w:rsidRPr="00255B28">
        <w:rPr>
          <w:lang w:val="it-IT"/>
        </w:rPr>
        <w:t xml:space="preserve"> un forte impatto sull’andamento </w:t>
      </w:r>
      <w:r>
        <w:rPr>
          <w:lang w:val="it-IT"/>
        </w:rPr>
        <w:t xml:space="preserve">complessivo del mercato, registrando </w:t>
      </w:r>
      <w:r w:rsidRPr="0023689E">
        <w:rPr>
          <w:b/>
          <w:bCs/>
          <w:lang w:val="it-IT"/>
        </w:rPr>
        <w:t>il maggior numero di transazioni a livello nazionale</w:t>
      </w:r>
      <w:r w:rsidRPr="00255B28">
        <w:rPr>
          <w:lang w:val="it-IT"/>
        </w:rPr>
        <w:t xml:space="preserve">. </w:t>
      </w:r>
      <w:r>
        <w:rPr>
          <w:lang w:val="it-IT"/>
        </w:rPr>
        <w:t>In particolare, l</w:t>
      </w:r>
      <w:r w:rsidRPr="00255B28">
        <w:rPr>
          <w:lang w:val="it-IT"/>
        </w:rPr>
        <w:t xml:space="preserve">a città di </w:t>
      </w:r>
      <w:r w:rsidRPr="0023689E">
        <w:rPr>
          <w:b/>
          <w:bCs/>
          <w:lang w:val="it-IT"/>
        </w:rPr>
        <w:t>Milano</w:t>
      </w:r>
      <w:r w:rsidRPr="00255B28">
        <w:rPr>
          <w:lang w:val="it-IT"/>
        </w:rPr>
        <w:t xml:space="preserve"> </w:t>
      </w:r>
      <w:r>
        <w:rPr>
          <w:lang w:val="it-IT"/>
        </w:rPr>
        <w:t>si conferma una piazza molto dinamica</w:t>
      </w:r>
      <w:r w:rsidR="002D1E71">
        <w:rPr>
          <w:lang w:val="it-IT"/>
        </w:rPr>
        <w:t xml:space="preserve">, caratterizzata da una </w:t>
      </w:r>
      <w:r w:rsidR="002D1E71" w:rsidRPr="0023689E">
        <w:rPr>
          <w:b/>
          <w:bCs/>
          <w:lang w:val="it-IT"/>
        </w:rPr>
        <w:t>domanda che cresce più velocemente dell’offerta</w:t>
      </w:r>
      <w:r w:rsidR="002D1E71">
        <w:rPr>
          <w:lang w:val="it-IT"/>
        </w:rPr>
        <w:t xml:space="preserve"> e </w:t>
      </w:r>
      <w:r>
        <w:rPr>
          <w:lang w:val="it-IT"/>
        </w:rPr>
        <w:t xml:space="preserve">risultando meno sensibile alla stagionalità che storicamente regola gli andamenti del real estate. </w:t>
      </w:r>
      <w:r w:rsidR="00255B28">
        <w:rPr>
          <w:lang w:val="it-IT"/>
        </w:rPr>
        <w:t xml:space="preserve">Questo quanto emerge dalla </w:t>
      </w:r>
      <w:r w:rsidR="004D2E48" w:rsidRPr="004D2E48">
        <w:rPr>
          <w:lang w:val="it-IT"/>
        </w:rPr>
        <w:t xml:space="preserve">nuova edizione di </w:t>
      </w:r>
      <w:r w:rsidR="004D2E48" w:rsidRPr="004D2E48">
        <w:rPr>
          <w:b/>
          <w:bCs/>
          <w:lang w:val="it-IT"/>
        </w:rPr>
        <w:t>Real Estate DATA HUB</w:t>
      </w:r>
      <w:r w:rsidR="00255B28">
        <w:rPr>
          <w:b/>
          <w:bCs/>
          <w:lang w:val="it-IT"/>
        </w:rPr>
        <w:t>,</w:t>
      </w:r>
      <w:r w:rsidR="004D2E48" w:rsidRPr="004D2E48">
        <w:rPr>
          <w:lang w:val="it-IT"/>
        </w:rPr>
        <w:t xml:space="preserve"> </w:t>
      </w:r>
      <w:r w:rsidR="00255B28" w:rsidRPr="004D2E48">
        <w:rPr>
          <w:lang w:val="it-IT"/>
        </w:rPr>
        <w:t xml:space="preserve">il Report realizzato dai Centri Studi di </w:t>
      </w:r>
      <w:hyperlink r:id="rId7" w:history="1">
        <w:r w:rsidR="00255B28" w:rsidRPr="004D2E48">
          <w:rPr>
            <w:rStyle w:val="Collegamentoipertestuale"/>
            <w:b/>
            <w:bCs/>
            <w:lang w:val="it-IT"/>
          </w:rPr>
          <w:t>RE/MAX Italia</w:t>
        </w:r>
      </w:hyperlink>
      <w:r w:rsidR="00255B28" w:rsidRPr="004D2E48">
        <w:rPr>
          <w:lang w:val="it-IT"/>
        </w:rPr>
        <w:t xml:space="preserve"> e di </w:t>
      </w:r>
      <w:hyperlink r:id="rId8" w:history="1">
        <w:r w:rsidR="00255B28" w:rsidRPr="004D2E48">
          <w:rPr>
            <w:rStyle w:val="Collegamentoipertestuale"/>
            <w:b/>
            <w:bCs/>
            <w:lang w:val="it-IT"/>
          </w:rPr>
          <w:t>Avalon Real Estate</w:t>
        </w:r>
      </w:hyperlink>
      <w:r w:rsidR="00255B28" w:rsidRPr="004D2E48">
        <w:rPr>
          <w:b/>
          <w:bCs/>
          <w:lang w:val="it-IT"/>
        </w:rPr>
        <w:t xml:space="preserve"> </w:t>
      </w:r>
      <w:r w:rsidR="00255B28" w:rsidRPr="004D2E48">
        <w:rPr>
          <w:lang w:val="it-IT"/>
        </w:rPr>
        <w:t xml:space="preserve">e dall’Ufficio Studi di </w:t>
      </w:r>
      <w:hyperlink r:id="rId9" w:history="1">
        <w:r w:rsidR="00255B28" w:rsidRPr="004D2E48">
          <w:rPr>
            <w:rStyle w:val="Collegamentoipertestuale"/>
            <w:b/>
            <w:bCs/>
            <w:lang w:val="it-IT"/>
          </w:rPr>
          <w:t>24MAX</w:t>
        </w:r>
      </w:hyperlink>
      <w:r w:rsidR="00255B28">
        <w:rPr>
          <w:lang w:val="it-IT"/>
        </w:rPr>
        <w:t>.</w:t>
      </w:r>
    </w:p>
    <w:p w14:paraId="332DF9A5" w14:textId="20B7B9F0" w:rsidR="00255B28" w:rsidRDefault="00255B28" w:rsidP="00690B13">
      <w:pPr>
        <w:pBdr>
          <w:top w:val="nil"/>
          <w:left w:val="nil"/>
          <w:bottom w:val="nil"/>
          <w:right w:val="nil"/>
          <w:between w:val="nil"/>
        </w:pBdr>
        <w:tabs>
          <w:tab w:val="left" w:pos="3231"/>
        </w:tabs>
        <w:jc w:val="both"/>
        <w:rPr>
          <w:lang w:val="it-IT"/>
        </w:rPr>
      </w:pPr>
    </w:p>
    <w:p w14:paraId="6784B3C3" w14:textId="77777777" w:rsidR="0060131D" w:rsidRDefault="00C60122" w:rsidP="00CD32C5">
      <w:pPr>
        <w:pBdr>
          <w:top w:val="nil"/>
          <w:left w:val="nil"/>
          <w:bottom w:val="nil"/>
          <w:right w:val="nil"/>
          <w:between w:val="nil"/>
        </w:pBdr>
        <w:jc w:val="both"/>
        <w:rPr>
          <w:lang w:val="it-IT"/>
        </w:rPr>
      </w:pPr>
      <w:r w:rsidRPr="0023689E">
        <w:rPr>
          <w:b/>
          <w:bCs/>
          <w:lang w:val="it-IT"/>
        </w:rPr>
        <w:t xml:space="preserve">In Lombardia </w:t>
      </w:r>
      <w:r w:rsidR="00C0242F" w:rsidRPr="0023689E">
        <w:rPr>
          <w:b/>
          <w:bCs/>
          <w:lang w:val="it-IT"/>
        </w:rPr>
        <w:t>la tipologia</w:t>
      </w:r>
      <w:r w:rsidR="00C0242F" w:rsidRPr="0023689E">
        <w:rPr>
          <w:lang w:val="it-IT"/>
        </w:rPr>
        <w:t xml:space="preserve"> di immobili </w:t>
      </w:r>
      <w:r w:rsidR="00C0242F" w:rsidRPr="0023689E">
        <w:rPr>
          <w:b/>
          <w:bCs/>
          <w:lang w:val="it-IT"/>
        </w:rPr>
        <w:t xml:space="preserve">più richiesta è il </w:t>
      </w:r>
      <w:r w:rsidR="00255B28" w:rsidRPr="0023689E">
        <w:rPr>
          <w:b/>
          <w:bCs/>
          <w:lang w:val="it-IT"/>
        </w:rPr>
        <w:t>trilocale</w:t>
      </w:r>
      <w:r w:rsidR="00C0242F" w:rsidRPr="0023689E">
        <w:rPr>
          <w:lang w:val="it-IT"/>
        </w:rPr>
        <w:t xml:space="preserve">, seguito dal bilocale. Gli appartamenti con quattro o più locali rappresentano una percentuale inferiore rispetto alla media nazionale, complici i prezzi più alti. Queste preferenze si confermano anche </w:t>
      </w:r>
      <w:r w:rsidR="00255B28" w:rsidRPr="0023689E">
        <w:rPr>
          <w:lang w:val="it-IT"/>
        </w:rPr>
        <w:t xml:space="preserve">a livello provinciale, </w:t>
      </w:r>
      <w:r w:rsidR="00C0242F" w:rsidRPr="0023689E">
        <w:rPr>
          <w:lang w:val="it-IT"/>
        </w:rPr>
        <w:t xml:space="preserve">fatta eccezione per la provincia di </w:t>
      </w:r>
      <w:r w:rsidR="00255B28" w:rsidRPr="0023689E">
        <w:rPr>
          <w:lang w:val="it-IT"/>
        </w:rPr>
        <w:t>Milano</w:t>
      </w:r>
      <w:r w:rsidR="00C0242F" w:rsidRPr="0023689E">
        <w:rPr>
          <w:lang w:val="it-IT"/>
        </w:rPr>
        <w:t xml:space="preserve"> dove il numero </w:t>
      </w:r>
      <w:r w:rsidR="00255B28" w:rsidRPr="0023689E">
        <w:rPr>
          <w:lang w:val="it-IT"/>
        </w:rPr>
        <w:t>di bilocali e trilocali è comparabile, rappresentando l’80% delle transazioni.</w:t>
      </w:r>
      <w:r w:rsidR="00C0242F" w:rsidRPr="0023689E">
        <w:rPr>
          <w:lang w:val="it-IT"/>
        </w:rPr>
        <w:t xml:space="preserve"> </w:t>
      </w:r>
      <w:r w:rsidR="00C0242F" w:rsidRPr="0023689E">
        <w:rPr>
          <w:b/>
          <w:bCs/>
          <w:lang w:val="it-IT"/>
        </w:rPr>
        <w:t>Nel capoluogo</w:t>
      </w:r>
      <w:r w:rsidR="00CD32C5" w:rsidRPr="0023689E">
        <w:rPr>
          <w:b/>
          <w:bCs/>
          <w:lang w:val="it-IT"/>
        </w:rPr>
        <w:t xml:space="preserve"> </w:t>
      </w:r>
      <w:r w:rsidR="00C0242F" w:rsidRPr="0023689E">
        <w:rPr>
          <w:b/>
          <w:bCs/>
          <w:lang w:val="it-IT"/>
        </w:rPr>
        <w:t>i metri quadri si riducono ulteriormente a causa del maggior costo</w:t>
      </w:r>
      <w:r w:rsidR="00C0242F" w:rsidRPr="0023689E">
        <w:rPr>
          <w:lang w:val="it-IT"/>
        </w:rPr>
        <w:t xml:space="preserve">. </w:t>
      </w:r>
      <w:r w:rsidR="00C0242F" w:rsidRPr="0023689E">
        <w:rPr>
          <w:b/>
          <w:bCs/>
          <w:lang w:val="it-IT"/>
        </w:rPr>
        <w:t>Nella classifica del mercato milanese vincono i bilocali</w:t>
      </w:r>
      <w:r w:rsidR="00C0242F" w:rsidRPr="0023689E">
        <w:rPr>
          <w:lang w:val="it-IT"/>
        </w:rPr>
        <w:t xml:space="preserve">, seguiti dai </w:t>
      </w:r>
      <w:r w:rsidR="00CD32C5" w:rsidRPr="0023689E">
        <w:rPr>
          <w:lang w:val="it-IT"/>
        </w:rPr>
        <w:t xml:space="preserve">trilocali. </w:t>
      </w:r>
      <w:r w:rsidR="00C0242F" w:rsidRPr="0023689E">
        <w:rPr>
          <w:b/>
          <w:bCs/>
          <w:lang w:val="it-IT"/>
        </w:rPr>
        <w:t>Milano</w:t>
      </w:r>
      <w:r w:rsidR="00C0242F" w:rsidRPr="0023689E">
        <w:rPr>
          <w:lang w:val="it-IT"/>
        </w:rPr>
        <w:t xml:space="preserve">, inoltre, </w:t>
      </w:r>
      <w:r w:rsidR="00C0242F" w:rsidRPr="0023689E">
        <w:rPr>
          <w:b/>
          <w:bCs/>
          <w:lang w:val="it-IT"/>
        </w:rPr>
        <w:t xml:space="preserve">è la città italiana </w:t>
      </w:r>
      <w:r w:rsidR="00CD32C5" w:rsidRPr="0023689E">
        <w:rPr>
          <w:b/>
          <w:bCs/>
          <w:lang w:val="it-IT"/>
        </w:rPr>
        <w:t>in cui vengono venduti più monolocali</w:t>
      </w:r>
      <w:r w:rsidR="00CD32C5" w:rsidRPr="0023689E">
        <w:rPr>
          <w:lang w:val="it-IT"/>
        </w:rPr>
        <w:t xml:space="preserve">, </w:t>
      </w:r>
      <w:r w:rsidR="00C0242F" w:rsidRPr="0023689E">
        <w:rPr>
          <w:lang w:val="it-IT"/>
        </w:rPr>
        <w:t>seguita</w:t>
      </w:r>
      <w:r w:rsidR="00C0242F">
        <w:rPr>
          <w:lang w:val="it-IT"/>
        </w:rPr>
        <w:t xml:space="preserve"> da</w:t>
      </w:r>
      <w:r w:rsidR="00CD32C5" w:rsidRPr="00CD32C5">
        <w:rPr>
          <w:lang w:val="it-IT"/>
        </w:rPr>
        <w:t xml:space="preserve"> Roma.</w:t>
      </w:r>
      <w:r w:rsidR="00D078C9">
        <w:rPr>
          <w:lang w:val="it-IT"/>
        </w:rPr>
        <w:t xml:space="preserve"> </w:t>
      </w:r>
    </w:p>
    <w:p w14:paraId="0502B36C" w14:textId="77777777" w:rsidR="0060131D" w:rsidRDefault="00255B28" w:rsidP="00CD32C5">
      <w:pPr>
        <w:pBdr>
          <w:top w:val="nil"/>
          <w:left w:val="nil"/>
          <w:bottom w:val="nil"/>
          <w:right w:val="nil"/>
          <w:between w:val="nil"/>
        </w:pBdr>
        <w:jc w:val="both"/>
        <w:rPr>
          <w:lang w:val="it-IT"/>
        </w:rPr>
      </w:pPr>
      <w:r w:rsidRPr="00255B28">
        <w:rPr>
          <w:lang w:val="it-IT"/>
        </w:rPr>
        <w:t xml:space="preserve">Nel 2022 in Lombardia </w:t>
      </w:r>
      <w:r w:rsidR="002D1E71">
        <w:rPr>
          <w:lang w:val="it-IT"/>
        </w:rPr>
        <w:t>i tempi di vendita delle case risultano sostanzialmente paragonabili a quelli del 2021, con una media di 1</w:t>
      </w:r>
      <w:r w:rsidRPr="00255B28">
        <w:rPr>
          <w:lang w:val="it-IT"/>
        </w:rPr>
        <w:t>37 giorni.</w:t>
      </w:r>
      <w:r w:rsidR="002D1E71">
        <w:rPr>
          <w:lang w:val="it-IT"/>
        </w:rPr>
        <w:t xml:space="preserve"> </w:t>
      </w:r>
      <w:r w:rsidR="00320137">
        <w:rPr>
          <w:lang w:val="it-IT"/>
        </w:rPr>
        <w:t xml:space="preserve">Tempistiche che si riducono notevolmente a Milano, dove la media si attesta nell’intorno di 108 giorni, </w:t>
      </w:r>
      <w:r w:rsidR="00320137" w:rsidRPr="00CD32C5">
        <w:rPr>
          <w:lang w:val="it-IT"/>
        </w:rPr>
        <w:t xml:space="preserve">al di sotto </w:t>
      </w:r>
      <w:r w:rsidR="003F6414">
        <w:rPr>
          <w:lang w:val="it-IT"/>
        </w:rPr>
        <w:t>del dato</w:t>
      </w:r>
      <w:r w:rsidR="00320137" w:rsidRPr="00CD32C5">
        <w:rPr>
          <w:lang w:val="it-IT"/>
        </w:rPr>
        <w:t xml:space="preserve"> nazionale di oltre un mese (37 giorni in meno).</w:t>
      </w:r>
      <w:r w:rsidR="00320137">
        <w:rPr>
          <w:lang w:val="it-IT"/>
        </w:rPr>
        <w:t xml:space="preserve"> </w:t>
      </w:r>
      <w:r w:rsidRPr="00255B28">
        <w:rPr>
          <w:lang w:val="it-IT"/>
        </w:rPr>
        <w:t>Lato affitt</w:t>
      </w:r>
      <w:r w:rsidR="00D078C9">
        <w:rPr>
          <w:lang w:val="it-IT"/>
        </w:rPr>
        <w:t>i</w:t>
      </w:r>
      <w:r w:rsidR="00320137">
        <w:rPr>
          <w:lang w:val="it-IT"/>
        </w:rPr>
        <w:t xml:space="preserve">, </w:t>
      </w:r>
      <w:r w:rsidR="002D1E71">
        <w:rPr>
          <w:lang w:val="it-IT"/>
        </w:rPr>
        <w:t xml:space="preserve">dal Real Estate DATA HUB emerge un netto </w:t>
      </w:r>
      <w:r w:rsidRPr="00255B28">
        <w:rPr>
          <w:lang w:val="it-IT"/>
        </w:rPr>
        <w:t xml:space="preserve">miglioramento nei primi 9 mesi </w:t>
      </w:r>
      <w:r w:rsidR="002D1E71">
        <w:rPr>
          <w:lang w:val="it-IT"/>
        </w:rPr>
        <w:t>del 2022</w:t>
      </w:r>
      <w:r w:rsidRPr="00255B28">
        <w:rPr>
          <w:lang w:val="it-IT"/>
        </w:rPr>
        <w:t xml:space="preserve">. </w:t>
      </w:r>
      <w:r w:rsidR="003F6414">
        <w:rPr>
          <w:lang w:val="it-IT"/>
        </w:rPr>
        <w:t>In Lombardia l</w:t>
      </w:r>
      <w:r w:rsidRPr="00255B28">
        <w:rPr>
          <w:lang w:val="it-IT"/>
        </w:rPr>
        <w:t xml:space="preserve">a media </w:t>
      </w:r>
      <w:r w:rsidR="002D1E71">
        <w:rPr>
          <w:lang w:val="it-IT"/>
        </w:rPr>
        <w:t xml:space="preserve">di giorni sul mercato </w:t>
      </w:r>
      <w:r w:rsidRPr="00255B28">
        <w:rPr>
          <w:lang w:val="it-IT"/>
        </w:rPr>
        <w:t xml:space="preserve">passa dai 70 </w:t>
      </w:r>
      <w:r w:rsidR="002D1E71">
        <w:rPr>
          <w:lang w:val="it-IT"/>
        </w:rPr>
        <w:t>del</w:t>
      </w:r>
      <w:r w:rsidRPr="00255B28">
        <w:rPr>
          <w:lang w:val="it-IT"/>
        </w:rPr>
        <w:t xml:space="preserve"> 2021 ai 52 </w:t>
      </w:r>
      <w:r w:rsidR="002D1E71">
        <w:rPr>
          <w:lang w:val="it-IT"/>
        </w:rPr>
        <w:t>d</w:t>
      </w:r>
      <w:r w:rsidRPr="00255B28">
        <w:rPr>
          <w:lang w:val="it-IT"/>
        </w:rPr>
        <w:t>el 2022, ben 9 giorni al di sotto della media nazionale.</w:t>
      </w:r>
      <w:r w:rsidR="002D1E71">
        <w:rPr>
          <w:lang w:val="it-IT"/>
        </w:rPr>
        <w:t xml:space="preserve"> Un </w:t>
      </w:r>
      <w:r w:rsidR="002D1E71" w:rsidRPr="0023689E">
        <w:rPr>
          <w:b/>
          <w:bCs/>
          <w:lang w:val="it-IT"/>
        </w:rPr>
        <w:t xml:space="preserve">dinamismo che si conferma anche nella città di Milano, dove si registra </w:t>
      </w:r>
      <w:r w:rsidR="00CD32C5" w:rsidRPr="0023689E">
        <w:rPr>
          <w:b/>
          <w:bCs/>
          <w:lang w:val="it-IT"/>
        </w:rPr>
        <w:t>un importante calo delle tempistiche di locazione</w:t>
      </w:r>
      <w:r w:rsidR="00CD32C5" w:rsidRPr="00CD32C5">
        <w:rPr>
          <w:lang w:val="it-IT"/>
        </w:rPr>
        <w:t xml:space="preserve">, che </w:t>
      </w:r>
      <w:r w:rsidR="002D1E71">
        <w:rPr>
          <w:lang w:val="it-IT"/>
        </w:rPr>
        <w:t>si attestano</w:t>
      </w:r>
      <w:r w:rsidR="00CD32C5" w:rsidRPr="00CD32C5">
        <w:rPr>
          <w:lang w:val="it-IT"/>
        </w:rPr>
        <w:t xml:space="preserve"> a 54 giorni medi </w:t>
      </w:r>
      <w:r w:rsidR="003F6414">
        <w:rPr>
          <w:lang w:val="it-IT"/>
        </w:rPr>
        <w:t xml:space="preserve">segnando una </w:t>
      </w:r>
      <w:r w:rsidR="00CD32C5" w:rsidRPr="00CD32C5">
        <w:rPr>
          <w:lang w:val="it-IT"/>
        </w:rPr>
        <w:t xml:space="preserve">sostanziale differenza </w:t>
      </w:r>
      <w:r w:rsidR="003F6414">
        <w:rPr>
          <w:lang w:val="it-IT"/>
        </w:rPr>
        <w:t>rispetto agli</w:t>
      </w:r>
      <w:r w:rsidR="00CD32C5" w:rsidRPr="00CD32C5">
        <w:rPr>
          <w:lang w:val="it-IT"/>
        </w:rPr>
        <w:t xml:space="preserve"> 85 del 2021.</w:t>
      </w:r>
      <w:r w:rsidR="0060131D">
        <w:rPr>
          <w:lang w:val="it-IT"/>
        </w:rPr>
        <w:t xml:space="preserve"> </w:t>
      </w:r>
    </w:p>
    <w:p w14:paraId="227DC27A" w14:textId="21D8E9A6" w:rsidR="00CD32C5" w:rsidRPr="00CD32C5" w:rsidRDefault="0060131D" w:rsidP="00CD32C5">
      <w:pPr>
        <w:pBdr>
          <w:top w:val="nil"/>
          <w:left w:val="nil"/>
          <w:bottom w:val="nil"/>
          <w:right w:val="nil"/>
          <w:between w:val="nil"/>
        </w:pBdr>
        <w:jc w:val="both"/>
        <w:rPr>
          <w:lang w:val="it-IT"/>
        </w:rPr>
      </w:pPr>
      <w:r>
        <w:rPr>
          <w:lang w:val="it-IT"/>
        </w:rPr>
        <w:t xml:space="preserve">Sul fronte dei prezzi, </w:t>
      </w:r>
      <w:r w:rsidRPr="00E7362D">
        <w:rPr>
          <w:b/>
          <w:bCs/>
          <w:lang w:val="it-IT"/>
        </w:rPr>
        <w:t>a Milano si registrano costanti aumenti per gli affitti</w:t>
      </w:r>
      <w:r w:rsidR="0001604F">
        <w:rPr>
          <w:b/>
          <w:bCs/>
          <w:lang w:val="it-IT"/>
        </w:rPr>
        <w:t>,</w:t>
      </w:r>
      <w:r>
        <w:rPr>
          <w:lang w:val="it-IT"/>
        </w:rPr>
        <w:t xml:space="preserve"> segnando un incremento </w:t>
      </w:r>
      <w:r w:rsidRPr="00CD32C5">
        <w:rPr>
          <w:lang w:val="it-IT"/>
        </w:rPr>
        <w:t>del 10,5%</w:t>
      </w:r>
      <w:r w:rsidRPr="0060131D">
        <w:rPr>
          <w:lang w:val="it-IT"/>
        </w:rPr>
        <w:t xml:space="preserve"> </w:t>
      </w:r>
      <w:r w:rsidRPr="00CD32C5">
        <w:rPr>
          <w:lang w:val="it-IT"/>
        </w:rPr>
        <w:t>rispetto al 2021</w:t>
      </w:r>
      <w:r>
        <w:rPr>
          <w:lang w:val="it-IT"/>
        </w:rPr>
        <w:t xml:space="preserve">. Andamento diverso per i </w:t>
      </w:r>
      <w:r w:rsidRPr="00E7362D">
        <w:rPr>
          <w:b/>
          <w:bCs/>
          <w:lang w:val="it-IT"/>
        </w:rPr>
        <w:t>prezzi di vendita, complessivamente in calo del 3,7%</w:t>
      </w:r>
      <w:r>
        <w:rPr>
          <w:lang w:val="it-IT"/>
        </w:rPr>
        <w:t xml:space="preserve"> su base annuale, con un prezzo medio al metro quadro di </w:t>
      </w:r>
      <w:r w:rsidR="00CD32C5" w:rsidRPr="00CD32C5">
        <w:rPr>
          <w:lang w:val="it-IT"/>
        </w:rPr>
        <w:t>3</w:t>
      </w:r>
      <w:r>
        <w:rPr>
          <w:lang w:val="it-IT"/>
        </w:rPr>
        <w:t>.</w:t>
      </w:r>
      <w:r w:rsidR="00CD32C5" w:rsidRPr="00CD32C5">
        <w:rPr>
          <w:lang w:val="it-IT"/>
        </w:rPr>
        <w:t>626</w:t>
      </w:r>
      <w:r>
        <w:rPr>
          <w:lang w:val="it-IT"/>
        </w:rPr>
        <w:t xml:space="preserve"> </w:t>
      </w:r>
      <w:r w:rsidR="00CD32C5" w:rsidRPr="00CD32C5">
        <w:rPr>
          <w:lang w:val="it-IT"/>
        </w:rPr>
        <w:t>€.</w:t>
      </w:r>
      <w:r>
        <w:rPr>
          <w:lang w:val="it-IT"/>
        </w:rPr>
        <w:t xml:space="preserve"> Una contrazione che non riguarda però tutte le zone della città. Infatti, dalle analisi dettagliate svolte dal </w:t>
      </w:r>
      <w:r w:rsidRPr="00CD32C5">
        <w:rPr>
          <w:lang w:val="it-IT"/>
        </w:rPr>
        <w:t xml:space="preserve">Centro Studi </w:t>
      </w:r>
      <w:r>
        <w:rPr>
          <w:lang w:val="it-IT"/>
        </w:rPr>
        <w:t xml:space="preserve">di </w:t>
      </w:r>
      <w:r w:rsidRPr="00CD32C5">
        <w:rPr>
          <w:lang w:val="it-IT"/>
        </w:rPr>
        <w:t>RE/MAX Italia</w:t>
      </w:r>
      <w:r>
        <w:rPr>
          <w:lang w:val="it-IT"/>
        </w:rPr>
        <w:t xml:space="preserve"> suddividendo </w:t>
      </w:r>
      <w:r w:rsidR="0001604F">
        <w:rPr>
          <w:lang w:val="it-IT"/>
        </w:rPr>
        <w:t>il capoluogo lombardo</w:t>
      </w:r>
      <w:r>
        <w:rPr>
          <w:lang w:val="it-IT"/>
        </w:rPr>
        <w:t xml:space="preserve"> in </w:t>
      </w:r>
      <w:r w:rsidRPr="00CD32C5">
        <w:rPr>
          <w:lang w:val="it-IT"/>
        </w:rPr>
        <w:t>18 aree</w:t>
      </w:r>
      <w:r>
        <w:rPr>
          <w:lang w:val="it-IT"/>
        </w:rPr>
        <w:t>,</w:t>
      </w:r>
      <w:r w:rsidRPr="00CD32C5">
        <w:rPr>
          <w:lang w:val="it-IT"/>
        </w:rPr>
        <w:t xml:space="preserve">10 presentano </w:t>
      </w:r>
      <w:r>
        <w:rPr>
          <w:lang w:val="it-IT"/>
        </w:rPr>
        <w:t xml:space="preserve">prezzi in aumento e solo </w:t>
      </w:r>
      <w:r w:rsidRPr="00CD32C5">
        <w:rPr>
          <w:lang w:val="it-IT"/>
        </w:rPr>
        <w:t xml:space="preserve">8 </w:t>
      </w:r>
      <w:r>
        <w:rPr>
          <w:lang w:val="it-IT"/>
        </w:rPr>
        <w:t xml:space="preserve">in </w:t>
      </w:r>
      <w:r w:rsidRPr="00CD32C5">
        <w:rPr>
          <w:lang w:val="it-IT"/>
        </w:rPr>
        <w:t>diminuzione.</w:t>
      </w:r>
      <w:r>
        <w:rPr>
          <w:lang w:val="it-IT"/>
        </w:rPr>
        <w:t xml:space="preserve"> </w:t>
      </w:r>
      <w:r w:rsidR="00CD32C5" w:rsidRPr="00CD32C5">
        <w:rPr>
          <w:lang w:val="it-IT"/>
        </w:rPr>
        <w:t>La maggiore crescita viene registrata nell’area Nord</w:t>
      </w:r>
      <w:r>
        <w:rPr>
          <w:lang w:val="it-IT"/>
        </w:rPr>
        <w:t xml:space="preserve">, interessata da importanti interventi di </w:t>
      </w:r>
      <w:r w:rsidR="00CD32C5" w:rsidRPr="00CD32C5">
        <w:rPr>
          <w:lang w:val="it-IT"/>
        </w:rPr>
        <w:t>riqualificazione infrastrutturale</w:t>
      </w:r>
      <w:r w:rsidR="0001604F">
        <w:rPr>
          <w:lang w:val="it-IT"/>
        </w:rPr>
        <w:t>,</w:t>
      </w:r>
      <w:r w:rsidR="00CD32C5" w:rsidRPr="00CD32C5">
        <w:rPr>
          <w:lang w:val="it-IT"/>
        </w:rPr>
        <w:t xml:space="preserve"> sociale e ambientale.</w:t>
      </w:r>
    </w:p>
    <w:p w14:paraId="3B6811C0" w14:textId="1412DFE1" w:rsidR="00CD32C5" w:rsidRDefault="00CD32C5" w:rsidP="004D2E48">
      <w:pPr>
        <w:pBdr>
          <w:top w:val="nil"/>
          <w:left w:val="nil"/>
          <w:bottom w:val="nil"/>
          <w:right w:val="nil"/>
          <w:between w:val="nil"/>
        </w:pBdr>
        <w:jc w:val="both"/>
        <w:rPr>
          <w:lang w:val="it-IT"/>
        </w:rPr>
      </w:pPr>
    </w:p>
    <w:p w14:paraId="2256D9DE" w14:textId="77777777" w:rsidR="00C60122" w:rsidRPr="00E5560F" w:rsidRDefault="00C60122" w:rsidP="00C60122">
      <w:pPr>
        <w:jc w:val="both"/>
        <w:rPr>
          <w:b/>
          <w:bCs/>
          <w:color w:val="004A99"/>
          <w:sz w:val="22"/>
          <w:szCs w:val="22"/>
          <w:lang w:val="it-IT"/>
        </w:rPr>
      </w:pPr>
      <w:r>
        <w:rPr>
          <w:b/>
          <w:bCs/>
          <w:color w:val="004A99"/>
          <w:sz w:val="22"/>
          <w:szCs w:val="22"/>
          <w:lang w:val="it-IT"/>
        </w:rPr>
        <w:t>Immobiliare d</w:t>
      </w:r>
      <w:r w:rsidRPr="00E5560F">
        <w:rPr>
          <w:b/>
          <w:bCs/>
          <w:color w:val="004A99"/>
          <w:sz w:val="22"/>
          <w:szCs w:val="22"/>
          <w:lang w:val="it-IT"/>
        </w:rPr>
        <w:t>irezionale</w:t>
      </w:r>
      <w:r>
        <w:rPr>
          <w:b/>
          <w:bCs/>
          <w:color w:val="004A99"/>
          <w:sz w:val="22"/>
          <w:szCs w:val="22"/>
          <w:lang w:val="it-IT"/>
        </w:rPr>
        <w:t xml:space="preserve">, commerciale, logistico </w:t>
      </w:r>
    </w:p>
    <w:p w14:paraId="4951ECBE" w14:textId="1E7718D8" w:rsidR="00CD32C5" w:rsidRDefault="0001604F" w:rsidP="004D2E48">
      <w:pPr>
        <w:pBdr>
          <w:top w:val="nil"/>
          <w:left w:val="nil"/>
          <w:bottom w:val="nil"/>
          <w:right w:val="nil"/>
          <w:between w:val="nil"/>
        </w:pBdr>
        <w:jc w:val="both"/>
        <w:rPr>
          <w:lang w:val="it-IT"/>
        </w:rPr>
      </w:pPr>
      <w:r>
        <w:rPr>
          <w:lang w:val="it-IT"/>
        </w:rPr>
        <w:t xml:space="preserve">In Lombardia prosegue </w:t>
      </w:r>
      <w:r w:rsidRPr="00CD32C5">
        <w:rPr>
          <w:lang w:val="it-IT"/>
        </w:rPr>
        <w:t>il forte interesse degli investitori</w:t>
      </w:r>
      <w:r>
        <w:rPr>
          <w:lang w:val="it-IT"/>
        </w:rPr>
        <w:t xml:space="preserve"> per il</w:t>
      </w:r>
      <w:r w:rsidRPr="00E7362D">
        <w:rPr>
          <w:b/>
          <w:bCs/>
          <w:lang w:val="it-IT"/>
        </w:rPr>
        <w:t xml:space="preserve"> </w:t>
      </w:r>
      <w:r w:rsidR="00C60122" w:rsidRPr="00E7362D">
        <w:rPr>
          <w:b/>
          <w:bCs/>
          <w:lang w:val="it-IT"/>
        </w:rPr>
        <w:t>comparto direzionale</w:t>
      </w:r>
      <w:r w:rsidR="00CD32C5" w:rsidRPr="00CD32C5">
        <w:rPr>
          <w:lang w:val="it-IT"/>
        </w:rPr>
        <w:t xml:space="preserve">, in particolare per </w:t>
      </w:r>
      <w:r w:rsidR="00BA48BC">
        <w:rPr>
          <w:lang w:val="it-IT"/>
        </w:rPr>
        <w:t>le</w:t>
      </w:r>
      <w:r w:rsidR="00BA48BC" w:rsidRPr="00CD32C5">
        <w:rPr>
          <w:lang w:val="it-IT"/>
        </w:rPr>
        <w:t xml:space="preserve"> zone del centro storico e </w:t>
      </w:r>
      <w:r w:rsidR="00BA48BC">
        <w:rPr>
          <w:lang w:val="it-IT"/>
        </w:rPr>
        <w:t xml:space="preserve">per </w:t>
      </w:r>
      <w:r w:rsidR="00BA48BC" w:rsidRPr="00CD32C5">
        <w:rPr>
          <w:lang w:val="it-IT"/>
        </w:rPr>
        <w:t>le aree semiperiferiche a sud e a nord-ovest della città</w:t>
      </w:r>
      <w:r w:rsidR="00BA48BC">
        <w:rPr>
          <w:lang w:val="it-IT"/>
        </w:rPr>
        <w:t>.</w:t>
      </w:r>
      <w:r w:rsidR="00CD32C5" w:rsidRPr="00CD32C5">
        <w:rPr>
          <w:lang w:val="it-IT"/>
        </w:rPr>
        <w:t xml:space="preserve"> Nel primo semestre 2022 il numero di unità direzionali transate conferma la ripresa già </w:t>
      </w:r>
      <w:r w:rsidR="00BA48BC">
        <w:rPr>
          <w:lang w:val="it-IT"/>
        </w:rPr>
        <w:t>iniziata</w:t>
      </w:r>
      <w:r w:rsidR="00CD32C5" w:rsidRPr="00CD32C5">
        <w:rPr>
          <w:lang w:val="it-IT"/>
        </w:rPr>
        <w:t xml:space="preserve"> nel 2021</w:t>
      </w:r>
      <w:r w:rsidR="00BA48BC">
        <w:rPr>
          <w:lang w:val="it-IT"/>
        </w:rPr>
        <w:t xml:space="preserve"> con valori superiori rispetto alla prima metà dell’anno precedente. </w:t>
      </w:r>
    </w:p>
    <w:p w14:paraId="5FCD6888" w14:textId="66300CB9" w:rsidR="00CD32C5" w:rsidRDefault="00CD32C5" w:rsidP="004D2E48">
      <w:pPr>
        <w:pBdr>
          <w:top w:val="nil"/>
          <w:left w:val="nil"/>
          <w:bottom w:val="nil"/>
          <w:right w:val="nil"/>
          <w:between w:val="nil"/>
        </w:pBdr>
        <w:jc w:val="both"/>
        <w:rPr>
          <w:lang w:val="it-IT"/>
        </w:rPr>
      </w:pPr>
    </w:p>
    <w:p w14:paraId="7656EAE0" w14:textId="3FD04D6F" w:rsidR="005A0261" w:rsidRDefault="00BA48BC" w:rsidP="005A0261">
      <w:pPr>
        <w:pBdr>
          <w:top w:val="nil"/>
          <w:left w:val="nil"/>
          <w:bottom w:val="nil"/>
          <w:right w:val="nil"/>
          <w:between w:val="nil"/>
        </w:pBdr>
        <w:jc w:val="both"/>
        <w:rPr>
          <w:iCs/>
          <w:lang w:val="it-IT"/>
        </w:rPr>
      </w:pPr>
      <w:r>
        <w:rPr>
          <w:iCs/>
          <w:lang w:val="it-IT"/>
        </w:rPr>
        <w:t>Nel 2022 p</w:t>
      </w:r>
      <w:r w:rsidR="00CD32C5" w:rsidRPr="00CD32C5">
        <w:rPr>
          <w:iCs/>
          <w:lang w:val="it-IT"/>
        </w:rPr>
        <w:t xml:space="preserve">er le </w:t>
      </w:r>
      <w:r w:rsidR="00CD32C5" w:rsidRPr="00BA48BC">
        <w:rPr>
          <w:b/>
          <w:bCs/>
          <w:iCs/>
          <w:lang w:val="it-IT"/>
        </w:rPr>
        <w:t>vie dello shopping di Milano</w:t>
      </w:r>
      <w:r w:rsidR="00CD32C5" w:rsidRPr="00CD32C5">
        <w:rPr>
          <w:iCs/>
          <w:lang w:val="it-IT"/>
        </w:rPr>
        <w:t xml:space="preserve"> si assiste a una dinamica ripresa dei canoni medi</w:t>
      </w:r>
      <w:r>
        <w:rPr>
          <w:iCs/>
          <w:lang w:val="it-IT"/>
        </w:rPr>
        <w:t xml:space="preserve">, che </w:t>
      </w:r>
      <w:r w:rsidR="0061267F">
        <w:rPr>
          <w:iCs/>
          <w:lang w:val="it-IT"/>
        </w:rPr>
        <w:t>avevano</w:t>
      </w:r>
      <w:r>
        <w:rPr>
          <w:iCs/>
          <w:lang w:val="it-IT"/>
        </w:rPr>
        <w:t xml:space="preserve"> registrato un </w:t>
      </w:r>
      <w:r w:rsidR="00CD32C5" w:rsidRPr="00CD32C5">
        <w:rPr>
          <w:iCs/>
          <w:lang w:val="it-IT"/>
        </w:rPr>
        <w:t xml:space="preserve">trend </w:t>
      </w:r>
      <w:r w:rsidR="00146BD6">
        <w:rPr>
          <w:iCs/>
          <w:lang w:val="it-IT"/>
        </w:rPr>
        <w:t>decrescente</w:t>
      </w:r>
      <w:r>
        <w:rPr>
          <w:iCs/>
          <w:lang w:val="it-IT"/>
        </w:rPr>
        <w:t xml:space="preserve"> nel </w:t>
      </w:r>
      <w:r w:rsidR="00146BD6">
        <w:rPr>
          <w:iCs/>
          <w:lang w:val="it-IT"/>
        </w:rPr>
        <w:t>biennio</w:t>
      </w:r>
      <w:r w:rsidR="00CD32C5" w:rsidRPr="00CD32C5">
        <w:rPr>
          <w:iCs/>
          <w:lang w:val="it-IT"/>
        </w:rPr>
        <w:t xml:space="preserve"> 2019</w:t>
      </w:r>
      <w:r>
        <w:rPr>
          <w:iCs/>
          <w:lang w:val="it-IT"/>
        </w:rPr>
        <w:t>/</w:t>
      </w:r>
      <w:r w:rsidR="00CD32C5" w:rsidRPr="00CD32C5">
        <w:rPr>
          <w:iCs/>
          <w:lang w:val="it-IT"/>
        </w:rPr>
        <w:t xml:space="preserve">2020 per </w:t>
      </w:r>
      <w:r w:rsidR="00146BD6">
        <w:rPr>
          <w:iCs/>
          <w:lang w:val="it-IT"/>
        </w:rPr>
        <w:t>poi ricominciare a crescere</w:t>
      </w:r>
      <w:r w:rsidR="00CD32C5" w:rsidRPr="00CD32C5">
        <w:rPr>
          <w:iCs/>
          <w:lang w:val="it-IT"/>
        </w:rPr>
        <w:t xml:space="preserve"> nel 2021</w:t>
      </w:r>
      <w:r w:rsidR="005A0261">
        <w:rPr>
          <w:iCs/>
          <w:lang w:val="it-IT"/>
        </w:rPr>
        <w:t xml:space="preserve">, accompagnata da </w:t>
      </w:r>
      <w:r w:rsidR="005A0261">
        <w:rPr>
          <w:iCs/>
          <w:lang w:val="it-IT"/>
        </w:rPr>
        <w:lastRenderedPageBreak/>
        <w:t>un coerente andamento dei mq disponibili. I dati mostrano segnali positivi di un mercato che non ha perso la fiducia nonostante la fase critica attraversata.</w:t>
      </w:r>
    </w:p>
    <w:p w14:paraId="78B8D18D" w14:textId="34E8FCC2" w:rsidR="00FD12A8" w:rsidRPr="00FD12A8" w:rsidRDefault="00146BD6" w:rsidP="0061267F">
      <w:pPr>
        <w:pBdr>
          <w:top w:val="nil"/>
          <w:left w:val="nil"/>
          <w:bottom w:val="nil"/>
          <w:right w:val="nil"/>
          <w:between w:val="nil"/>
        </w:pBdr>
        <w:jc w:val="both"/>
        <w:rPr>
          <w:iCs/>
          <w:lang w:val="it-IT"/>
        </w:rPr>
      </w:pPr>
      <w:r>
        <w:rPr>
          <w:iCs/>
          <w:lang w:val="it-IT"/>
        </w:rPr>
        <w:t>A</w:t>
      </w:r>
      <w:r w:rsidRPr="00FD12A8">
        <w:rPr>
          <w:iCs/>
          <w:lang w:val="it-IT"/>
        </w:rPr>
        <w:t xml:space="preserve">nche nel 2022 </w:t>
      </w:r>
      <w:r>
        <w:rPr>
          <w:iCs/>
          <w:lang w:val="it-IT"/>
        </w:rPr>
        <w:t>prosegue l’andamento</w:t>
      </w:r>
      <w:r w:rsidRPr="00FD12A8">
        <w:rPr>
          <w:iCs/>
          <w:lang w:val="it-IT"/>
        </w:rPr>
        <w:t xml:space="preserve"> positivo </w:t>
      </w:r>
      <w:r>
        <w:rPr>
          <w:iCs/>
          <w:lang w:val="it-IT"/>
        </w:rPr>
        <w:t>del</w:t>
      </w:r>
      <w:r w:rsidR="00FD12A8" w:rsidRPr="00FD12A8">
        <w:rPr>
          <w:iCs/>
          <w:lang w:val="it-IT"/>
        </w:rPr>
        <w:t xml:space="preserve"> </w:t>
      </w:r>
      <w:r w:rsidR="00FD12A8" w:rsidRPr="0061267F">
        <w:rPr>
          <w:b/>
          <w:bCs/>
          <w:iCs/>
          <w:lang w:val="it-IT"/>
        </w:rPr>
        <w:t>settore logistico</w:t>
      </w:r>
      <w:r>
        <w:rPr>
          <w:iCs/>
          <w:lang w:val="it-IT"/>
        </w:rPr>
        <w:t>,</w:t>
      </w:r>
      <w:r w:rsidR="00FD12A8" w:rsidRPr="00FD12A8">
        <w:rPr>
          <w:iCs/>
          <w:lang w:val="it-IT"/>
        </w:rPr>
        <w:t xml:space="preserve"> </w:t>
      </w:r>
      <w:r w:rsidR="0061267F">
        <w:rPr>
          <w:iCs/>
          <w:lang w:val="it-IT"/>
        </w:rPr>
        <w:t xml:space="preserve">in particolare su </w:t>
      </w:r>
      <w:r w:rsidR="00FD12A8" w:rsidRPr="00FD12A8">
        <w:rPr>
          <w:iCs/>
          <w:lang w:val="it-IT"/>
        </w:rPr>
        <w:t>Milano, che continua a essere la location preferita per gli investimenti nonostante l’aumento inflattivo e l’incertezza globale del mercato</w:t>
      </w:r>
      <w:r w:rsidR="00FD12A8">
        <w:rPr>
          <w:iCs/>
          <w:lang w:val="it-IT"/>
        </w:rPr>
        <w:t xml:space="preserve">. </w:t>
      </w:r>
      <w:r w:rsidR="00FD12A8" w:rsidRPr="00FD12A8">
        <w:rPr>
          <w:iCs/>
          <w:lang w:val="it-IT"/>
        </w:rPr>
        <w:t>Si conferma la crescita dei prime rent nell’area metropolitana di Milano</w:t>
      </w:r>
      <w:r w:rsidR="0061267F">
        <w:rPr>
          <w:iCs/>
          <w:lang w:val="it-IT"/>
        </w:rPr>
        <w:t>,</w:t>
      </w:r>
      <w:r w:rsidR="00FD12A8" w:rsidRPr="00FD12A8">
        <w:rPr>
          <w:iCs/>
          <w:lang w:val="it-IT"/>
        </w:rPr>
        <w:t xml:space="preserve"> sia per gli asset logistici tradizionali</w:t>
      </w:r>
      <w:r w:rsidR="0061267F">
        <w:rPr>
          <w:iCs/>
          <w:lang w:val="it-IT"/>
        </w:rPr>
        <w:t>,</w:t>
      </w:r>
      <w:r w:rsidR="00FD12A8" w:rsidRPr="00FD12A8">
        <w:rPr>
          <w:iCs/>
          <w:lang w:val="it-IT"/>
        </w:rPr>
        <w:t xml:space="preserve"> </w:t>
      </w:r>
      <w:r w:rsidR="0061267F">
        <w:rPr>
          <w:iCs/>
          <w:lang w:val="it-IT"/>
        </w:rPr>
        <w:t>sia</w:t>
      </w:r>
      <w:r w:rsidR="00FD12A8" w:rsidRPr="00FD12A8">
        <w:rPr>
          <w:iCs/>
          <w:lang w:val="it-IT"/>
        </w:rPr>
        <w:t xml:space="preserve"> per i last mile</w:t>
      </w:r>
      <w:r>
        <w:rPr>
          <w:iCs/>
          <w:lang w:val="it-IT"/>
        </w:rPr>
        <w:t>,</w:t>
      </w:r>
      <w:r w:rsidR="00FD12A8" w:rsidRPr="00FD12A8">
        <w:rPr>
          <w:iCs/>
          <w:lang w:val="it-IT"/>
        </w:rPr>
        <w:t xml:space="preserve"> con spazi di alta qualità e dotati di certificazion</w:t>
      </w:r>
      <w:r w:rsidR="0061267F">
        <w:rPr>
          <w:iCs/>
          <w:lang w:val="it-IT"/>
        </w:rPr>
        <w:t>i</w:t>
      </w:r>
      <w:r w:rsidR="00FD12A8" w:rsidRPr="00FD12A8">
        <w:rPr>
          <w:iCs/>
          <w:lang w:val="it-IT"/>
        </w:rPr>
        <w:t xml:space="preserve"> energetic</w:t>
      </w:r>
      <w:r w:rsidR="0061267F">
        <w:rPr>
          <w:iCs/>
          <w:lang w:val="it-IT"/>
        </w:rPr>
        <w:t>he</w:t>
      </w:r>
      <w:r w:rsidR="00FD12A8" w:rsidRPr="00FD12A8">
        <w:rPr>
          <w:iCs/>
          <w:lang w:val="it-IT"/>
        </w:rPr>
        <w:t>.</w:t>
      </w:r>
      <w:r w:rsidR="004E11C3">
        <w:rPr>
          <w:iCs/>
          <w:lang w:val="it-IT"/>
        </w:rPr>
        <w:t xml:space="preserve"> I prime yield si attestano intorno al 4,5%, </w:t>
      </w:r>
      <w:r w:rsidR="00626ADA">
        <w:rPr>
          <w:iCs/>
          <w:lang w:val="it-IT"/>
        </w:rPr>
        <w:t>con un trend al rialzo a partire da settembre 2022, dovuto perlopiù all’aumento dei tassi di interesse.</w:t>
      </w:r>
    </w:p>
    <w:p w14:paraId="3301DFDF" w14:textId="4515C422" w:rsidR="00CD32C5" w:rsidRDefault="00CD32C5" w:rsidP="004D2E48">
      <w:pPr>
        <w:pBdr>
          <w:top w:val="nil"/>
          <w:left w:val="nil"/>
          <w:bottom w:val="nil"/>
          <w:right w:val="nil"/>
          <w:between w:val="nil"/>
        </w:pBdr>
        <w:jc w:val="both"/>
        <w:rPr>
          <w:iCs/>
          <w:lang w:val="it-IT"/>
        </w:rPr>
      </w:pPr>
    </w:p>
    <w:p w14:paraId="239E1683" w14:textId="77777777" w:rsidR="00C60122" w:rsidRPr="009A3E93" w:rsidRDefault="00C60122" w:rsidP="00C60122">
      <w:pPr>
        <w:jc w:val="both"/>
        <w:rPr>
          <w:b/>
          <w:bCs/>
          <w:color w:val="004A99"/>
          <w:sz w:val="22"/>
          <w:szCs w:val="22"/>
          <w:lang w:val="it-IT"/>
        </w:rPr>
      </w:pPr>
      <w:r>
        <w:rPr>
          <w:b/>
          <w:bCs/>
          <w:color w:val="004A99"/>
          <w:sz w:val="22"/>
          <w:szCs w:val="22"/>
          <w:lang w:val="it-IT"/>
        </w:rPr>
        <w:t>Overview Italia</w:t>
      </w:r>
    </w:p>
    <w:p w14:paraId="02D270BE" w14:textId="77777777" w:rsidR="00C60122" w:rsidRDefault="00C60122" w:rsidP="00C60122">
      <w:pPr>
        <w:pBdr>
          <w:top w:val="nil"/>
          <w:left w:val="nil"/>
          <w:bottom w:val="nil"/>
          <w:right w:val="nil"/>
          <w:between w:val="nil"/>
        </w:pBdr>
        <w:jc w:val="both"/>
        <w:rPr>
          <w:lang w:val="it-IT"/>
        </w:rPr>
      </w:pPr>
      <w:r>
        <w:rPr>
          <w:lang w:val="it-IT"/>
        </w:rPr>
        <w:t xml:space="preserve">A livello nazionale il mercato immobiliare residenziale sta manifestando gli attesi segnali </w:t>
      </w:r>
      <w:r w:rsidRPr="00485C2E">
        <w:rPr>
          <w:lang w:val="it-IT"/>
        </w:rPr>
        <w:t xml:space="preserve">di una </w:t>
      </w:r>
      <w:r w:rsidRPr="00485C2E">
        <w:rPr>
          <w:b/>
          <w:bCs/>
          <w:lang w:val="it-IT"/>
        </w:rPr>
        <w:t>stabilizzazione dell’offerta</w:t>
      </w:r>
      <w:r w:rsidRPr="00797EBF">
        <w:rPr>
          <w:b/>
          <w:bCs/>
          <w:lang w:val="it-IT"/>
        </w:rPr>
        <w:t xml:space="preserve"> a fronte di una </w:t>
      </w:r>
      <w:r w:rsidRPr="00485C2E">
        <w:rPr>
          <w:b/>
          <w:bCs/>
          <w:lang w:val="it-IT"/>
        </w:rPr>
        <w:t xml:space="preserve">domanda </w:t>
      </w:r>
      <w:r w:rsidRPr="00797EBF">
        <w:rPr>
          <w:b/>
          <w:bCs/>
          <w:lang w:val="it-IT"/>
        </w:rPr>
        <w:t xml:space="preserve">che </w:t>
      </w:r>
      <w:r w:rsidRPr="00485C2E">
        <w:rPr>
          <w:b/>
          <w:bCs/>
          <w:lang w:val="it-IT"/>
        </w:rPr>
        <w:t>risente del rialzo dei tassi di interesse</w:t>
      </w:r>
      <w:r w:rsidRPr="00485C2E">
        <w:rPr>
          <w:lang w:val="it-IT"/>
        </w:rPr>
        <w:t xml:space="preserve">. </w:t>
      </w:r>
      <w:r w:rsidRPr="00F7182C">
        <w:rPr>
          <w:lang w:val="it-IT"/>
        </w:rPr>
        <w:t xml:space="preserve">Il rallentamento </w:t>
      </w:r>
      <w:r>
        <w:rPr>
          <w:lang w:val="it-IT"/>
        </w:rPr>
        <w:t xml:space="preserve">previsto per il </w:t>
      </w:r>
      <w:r w:rsidRPr="00F7182C">
        <w:rPr>
          <w:lang w:val="it-IT"/>
        </w:rPr>
        <w:t>prossimo biennio presenterà grandi sfide</w:t>
      </w:r>
      <w:r>
        <w:rPr>
          <w:lang w:val="it-IT"/>
        </w:rPr>
        <w:t>,</w:t>
      </w:r>
      <w:r w:rsidRPr="00F7182C">
        <w:rPr>
          <w:lang w:val="it-IT"/>
        </w:rPr>
        <w:t xml:space="preserve"> ma offrirà </w:t>
      </w:r>
      <w:r>
        <w:rPr>
          <w:lang w:val="it-IT"/>
        </w:rPr>
        <w:t xml:space="preserve">anche </w:t>
      </w:r>
      <w:r w:rsidRPr="00797EBF">
        <w:rPr>
          <w:b/>
          <w:bCs/>
          <w:lang w:val="it-IT"/>
        </w:rPr>
        <w:t>interessanti opportunità per investire nell’immobiliare</w:t>
      </w:r>
      <w:r w:rsidRPr="00F7182C">
        <w:rPr>
          <w:lang w:val="it-IT"/>
        </w:rPr>
        <w:t>. “</w:t>
      </w:r>
      <w:r w:rsidRPr="009F35FC">
        <w:rPr>
          <w:i/>
          <w:iCs/>
          <w:lang w:val="it-IT"/>
        </w:rPr>
        <w:t>Questo perché sarà un mercato leggermente calmierato con condizioni più favorevoli per chi dispone di liquidità o ha la possibilità di accedere al credito</w:t>
      </w:r>
      <w:r w:rsidRPr="00F7182C">
        <w:rPr>
          <w:lang w:val="it-IT"/>
        </w:rPr>
        <w:t xml:space="preserve">”, commenta </w:t>
      </w:r>
      <w:r w:rsidRPr="003F42E8">
        <w:rPr>
          <w:b/>
          <w:bCs/>
          <w:lang w:val="it-IT"/>
        </w:rPr>
        <w:t>Dario Castiglia, CEO &amp; Founder di RE/MAX Italia</w:t>
      </w:r>
      <w:r w:rsidRPr="00F7182C">
        <w:rPr>
          <w:lang w:val="it-IT"/>
        </w:rPr>
        <w:t xml:space="preserve">. Secondo il gruppo immobiliare in franchising, </w:t>
      </w:r>
      <w:r>
        <w:rPr>
          <w:lang w:val="it-IT"/>
        </w:rPr>
        <w:t xml:space="preserve">infatti, </w:t>
      </w:r>
      <w:r w:rsidRPr="00797EBF">
        <w:rPr>
          <w:b/>
          <w:bCs/>
          <w:lang w:val="it-IT"/>
        </w:rPr>
        <w:t>il mattone si confermerà bene rifugio contro l’inflazione</w:t>
      </w:r>
      <w:r w:rsidRPr="00F7182C">
        <w:rPr>
          <w:lang w:val="it-IT"/>
        </w:rPr>
        <w:t xml:space="preserve"> in un mercato più equilibrato </w:t>
      </w:r>
      <w:r>
        <w:rPr>
          <w:lang w:val="it-IT"/>
        </w:rPr>
        <w:t xml:space="preserve">in </w:t>
      </w:r>
      <w:r w:rsidRPr="000C6AC2">
        <w:rPr>
          <w:lang w:val="it-IT"/>
        </w:rPr>
        <w:t>fase di consolidamento, con un minor numero di transazioni attese</w:t>
      </w:r>
      <w:r w:rsidRPr="00F7182C">
        <w:rPr>
          <w:lang w:val="it-IT"/>
        </w:rPr>
        <w:t xml:space="preserve"> che tenderà a riallinearsi ai trend di crescita del 2019.</w:t>
      </w:r>
    </w:p>
    <w:p w14:paraId="5E3BD1A2" w14:textId="77777777" w:rsidR="00C60122" w:rsidRDefault="00C60122" w:rsidP="00C60122">
      <w:pPr>
        <w:pBdr>
          <w:top w:val="nil"/>
          <w:left w:val="nil"/>
          <w:bottom w:val="nil"/>
          <w:right w:val="nil"/>
          <w:between w:val="nil"/>
        </w:pBdr>
        <w:jc w:val="both"/>
        <w:rPr>
          <w:lang w:val="it-IT"/>
        </w:rPr>
      </w:pPr>
    </w:p>
    <w:p w14:paraId="37E61EED" w14:textId="77777777" w:rsidR="00C60122" w:rsidRDefault="00C60122" w:rsidP="00C60122">
      <w:pPr>
        <w:pBdr>
          <w:top w:val="nil"/>
          <w:left w:val="nil"/>
          <w:bottom w:val="nil"/>
          <w:right w:val="nil"/>
          <w:between w:val="nil"/>
        </w:pBdr>
        <w:jc w:val="both"/>
        <w:rPr>
          <w:lang w:val="it-IT"/>
        </w:rPr>
      </w:pPr>
      <w:r>
        <w:rPr>
          <w:lang w:val="it-IT"/>
        </w:rPr>
        <w:t>Per quanto riguarda il mercato creditizio, d</w:t>
      </w:r>
      <w:r w:rsidRPr="000C6AC2">
        <w:rPr>
          <w:lang w:val="it-IT"/>
        </w:rPr>
        <w:t xml:space="preserve">ai dati messi a disposizione dall’Ufficio Studi </w:t>
      </w:r>
      <w:r>
        <w:rPr>
          <w:lang w:val="it-IT"/>
        </w:rPr>
        <w:t xml:space="preserve">di </w:t>
      </w:r>
      <w:r w:rsidRPr="000C6AC2">
        <w:rPr>
          <w:lang w:val="it-IT"/>
        </w:rPr>
        <w:t xml:space="preserve">24MAX si osserva che </w:t>
      </w:r>
      <w:r w:rsidRPr="00F802FE">
        <w:rPr>
          <w:b/>
          <w:bCs/>
          <w:lang w:val="it-IT"/>
        </w:rPr>
        <w:t>la maggior parte dei mutui erogati ha come finalità l’acquisto</w:t>
      </w:r>
      <w:r w:rsidRPr="000C6AC2">
        <w:rPr>
          <w:lang w:val="it-IT"/>
        </w:rPr>
        <w:t xml:space="preserve">. In lieve calo i mutui richiesti per </w:t>
      </w:r>
      <w:r>
        <w:rPr>
          <w:lang w:val="it-IT"/>
        </w:rPr>
        <w:t>le</w:t>
      </w:r>
      <w:r w:rsidRPr="000C6AC2">
        <w:rPr>
          <w:lang w:val="it-IT"/>
        </w:rPr>
        <w:t xml:space="preserve"> seconde case.</w:t>
      </w:r>
      <w:r>
        <w:rPr>
          <w:lang w:val="it-IT"/>
        </w:rPr>
        <w:t xml:space="preserve"> Gli acquirenti si orientano sempre più verso soluzioni quali </w:t>
      </w:r>
      <w:r w:rsidRPr="000C6AC2">
        <w:rPr>
          <w:lang w:val="it-IT"/>
        </w:rPr>
        <w:t>tassi variabili a rata fissa</w:t>
      </w:r>
      <w:r>
        <w:rPr>
          <w:lang w:val="it-IT"/>
        </w:rPr>
        <w:t xml:space="preserve">, </w:t>
      </w:r>
      <w:r w:rsidRPr="000C6AC2">
        <w:rPr>
          <w:lang w:val="it-IT"/>
        </w:rPr>
        <w:t>mutui variabili con CAP</w:t>
      </w:r>
      <w:r>
        <w:rPr>
          <w:lang w:val="it-IT"/>
        </w:rPr>
        <w:t xml:space="preserve"> e mutui green per </w:t>
      </w:r>
      <w:r w:rsidRPr="000C6AC2">
        <w:rPr>
          <w:lang w:val="it-IT"/>
        </w:rPr>
        <w:t>gli immobili di nuova costruzione o ristrutturati in classi energetiche efficienti (A o B)</w:t>
      </w:r>
      <w:r>
        <w:rPr>
          <w:lang w:val="it-IT"/>
        </w:rPr>
        <w:t>.</w:t>
      </w:r>
    </w:p>
    <w:p w14:paraId="6F121435" w14:textId="70365F9B" w:rsidR="00C60122" w:rsidRDefault="00C60122" w:rsidP="004D2E48">
      <w:pPr>
        <w:pBdr>
          <w:top w:val="nil"/>
          <w:left w:val="nil"/>
          <w:bottom w:val="nil"/>
          <w:right w:val="nil"/>
          <w:between w:val="nil"/>
        </w:pBdr>
        <w:jc w:val="both"/>
        <w:rPr>
          <w:iCs/>
          <w:lang w:val="it-IT"/>
        </w:rPr>
      </w:pPr>
    </w:p>
    <w:p w14:paraId="70FEA1EF" w14:textId="27F3C062" w:rsidR="00D02162" w:rsidRPr="00CD32C5" w:rsidRDefault="00DA2956" w:rsidP="004B4A95">
      <w:pPr>
        <w:jc w:val="both"/>
        <w:rPr>
          <w:iCs/>
          <w:lang w:val="it-IT"/>
        </w:rPr>
      </w:pPr>
      <w:r>
        <w:rPr>
          <w:iCs/>
          <w:lang w:val="it-IT"/>
        </w:rPr>
        <w:t xml:space="preserve">Nel mercato corporate, la performance a livello nazionale ha visto il comparto logistico </w:t>
      </w:r>
      <w:r w:rsidR="00142448">
        <w:rPr>
          <w:iCs/>
          <w:lang w:val="it-IT"/>
        </w:rPr>
        <w:t>ancora con un</w:t>
      </w:r>
      <w:r w:rsidRPr="005153A0">
        <w:rPr>
          <w:lang w:val="it-IT"/>
        </w:rPr>
        <w:t xml:space="preserve"> </w:t>
      </w:r>
      <w:r w:rsidRPr="005153A0">
        <w:rPr>
          <w:b/>
          <w:bCs/>
          <w:lang w:val="it-IT"/>
        </w:rPr>
        <w:t>ruolo centrale in termini di volumi di investimento</w:t>
      </w:r>
      <w:r w:rsidR="00142448" w:rsidRPr="004B4A95">
        <w:rPr>
          <w:bCs/>
          <w:lang w:val="it-IT"/>
        </w:rPr>
        <w:t xml:space="preserve"> nel 2022</w:t>
      </w:r>
      <w:r>
        <w:rPr>
          <w:b/>
          <w:bCs/>
          <w:lang w:val="it-IT"/>
        </w:rPr>
        <w:t xml:space="preserve">; </w:t>
      </w:r>
      <w:r w:rsidRPr="005153A0">
        <w:rPr>
          <w:lang w:val="it-IT"/>
        </w:rPr>
        <w:t xml:space="preserve">Il </w:t>
      </w:r>
      <w:r w:rsidRPr="005153A0">
        <w:rPr>
          <w:b/>
          <w:bCs/>
          <w:lang w:val="it-IT"/>
        </w:rPr>
        <w:t>settore direzionale</w:t>
      </w:r>
      <w:r w:rsidRPr="005153A0">
        <w:rPr>
          <w:lang w:val="it-IT"/>
        </w:rPr>
        <w:t xml:space="preserve"> conferma di aver superato il periodo più difficile, con </w:t>
      </w:r>
      <w:r w:rsidRPr="005153A0">
        <w:rPr>
          <w:b/>
          <w:bCs/>
          <w:lang w:val="it-IT"/>
        </w:rPr>
        <w:t>volumi che hanno recuperato i livelli pre-pandemia</w:t>
      </w:r>
      <w:r w:rsidRPr="005153A0">
        <w:rPr>
          <w:lang w:val="it-IT"/>
        </w:rPr>
        <w:t>, grazie soprattutto a transazioni di grandi dimensioni</w:t>
      </w:r>
      <w:r>
        <w:rPr>
          <w:lang w:val="it-IT"/>
        </w:rPr>
        <w:t xml:space="preserve"> e</w:t>
      </w:r>
      <w:r w:rsidR="00142448">
        <w:rPr>
          <w:lang w:val="it-IT"/>
        </w:rPr>
        <w:t>,</w:t>
      </w:r>
      <w:r>
        <w:rPr>
          <w:lang w:val="it-IT"/>
        </w:rPr>
        <w:t xml:space="preserve"> infine</w:t>
      </w:r>
      <w:r w:rsidR="00142448">
        <w:rPr>
          <w:lang w:val="it-IT"/>
        </w:rPr>
        <w:t>,</w:t>
      </w:r>
      <w:r>
        <w:rPr>
          <w:lang w:val="it-IT"/>
        </w:rPr>
        <w:t xml:space="preserve"> il retail, </w:t>
      </w:r>
      <w:r w:rsidRPr="005153A0">
        <w:rPr>
          <w:lang w:val="it-IT"/>
        </w:rPr>
        <w:t xml:space="preserve">si conferma meno rapido nella ripresa, registrando però un </w:t>
      </w:r>
      <w:r w:rsidRPr="005153A0">
        <w:rPr>
          <w:b/>
          <w:bCs/>
          <w:lang w:val="it-IT"/>
        </w:rPr>
        <w:t>volume di investimento in aumento</w:t>
      </w:r>
      <w:r w:rsidRPr="005153A0">
        <w:rPr>
          <w:lang w:val="it-IT"/>
        </w:rPr>
        <w:t>, quasi raddoppiato rispetto al primo semestre dello scorso anno</w:t>
      </w:r>
      <w:r>
        <w:rPr>
          <w:lang w:val="it-IT"/>
        </w:rPr>
        <w:t xml:space="preserve">. </w:t>
      </w:r>
      <w:r w:rsidRPr="00527DD4">
        <w:rPr>
          <w:lang w:val="it-IT"/>
        </w:rPr>
        <w:t xml:space="preserve">Per quanto riguarda le prossime mosse degli investitori, </w:t>
      </w:r>
      <w:r w:rsidRPr="00527DD4">
        <w:rPr>
          <w:i/>
          <w:iCs/>
          <w:lang w:val="it-IT"/>
        </w:rPr>
        <w:t>“dato l’aggiustamento al rialzo dei rendimenti dovuto all’incremento dei tassi di interesse e all’inflazione, il mercato corporate offrirà nel breve-medio periodo importanti opportunità, soprattutto per gli spazi direzionali e Build To Rent residenziale”</w:t>
      </w:r>
      <w:r w:rsidR="00845F0E">
        <w:rPr>
          <w:i/>
          <w:iCs/>
          <w:lang w:val="it-IT"/>
        </w:rPr>
        <w:t>,</w:t>
      </w:r>
      <w:r w:rsidRPr="00527DD4">
        <w:rPr>
          <w:lang w:val="it-IT"/>
        </w:rPr>
        <w:t xml:space="preserve"> spiega Paolo Ranieri, socio e consigliere di Avalon Real Estate</w:t>
      </w:r>
      <w:r>
        <w:rPr>
          <w:lang w:val="it-IT"/>
        </w:rPr>
        <w:t>.</w:t>
      </w:r>
    </w:p>
    <w:p w14:paraId="48C7094D" w14:textId="77777777" w:rsidR="009F35FC" w:rsidRPr="00CD32C5" w:rsidRDefault="009F35FC" w:rsidP="00C212C7">
      <w:pPr>
        <w:pBdr>
          <w:top w:val="nil"/>
          <w:left w:val="nil"/>
          <w:bottom w:val="nil"/>
          <w:right w:val="nil"/>
          <w:between w:val="nil"/>
        </w:pBdr>
        <w:jc w:val="both"/>
        <w:rPr>
          <w:lang w:val="it-IT"/>
        </w:rPr>
      </w:pPr>
    </w:p>
    <w:p w14:paraId="3E8CCB49" w14:textId="77777777" w:rsidR="004D2E48" w:rsidRPr="00FD4C24" w:rsidRDefault="004D2E48" w:rsidP="004D2E48">
      <w:pPr>
        <w:jc w:val="both"/>
        <w:rPr>
          <w:b/>
          <w:bCs/>
          <w:color w:val="004A99"/>
          <w:sz w:val="22"/>
          <w:szCs w:val="22"/>
          <w:lang w:val="it-IT"/>
        </w:rPr>
      </w:pPr>
      <w:r w:rsidRPr="00FD4C24">
        <w:rPr>
          <w:b/>
          <w:bCs/>
          <w:color w:val="004A99"/>
          <w:sz w:val="22"/>
          <w:szCs w:val="22"/>
          <w:lang w:val="it-IT"/>
        </w:rPr>
        <w:t>Real Estate DATA HUB</w:t>
      </w:r>
    </w:p>
    <w:p w14:paraId="748E78BA" w14:textId="0EB896BC" w:rsidR="000C6AC2" w:rsidRDefault="000C6AC2" w:rsidP="000C6AC2">
      <w:pPr>
        <w:pBdr>
          <w:top w:val="nil"/>
          <w:left w:val="nil"/>
          <w:bottom w:val="nil"/>
          <w:right w:val="nil"/>
          <w:between w:val="nil"/>
        </w:pBdr>
        <w:jc w:val="both"/>
        <w:rPr>
          <w:lang w:val="it-IT"/>
        </w:rPr>
      </w:pPr>
      <w:r>
        <w:rPr>
          <w:lang w:val="it-IT"/>
        </w:rPr>
        <w:t>I</w:t>
      </w:r>
      <w:r w:rsidR="004D2E48" w:rsidRPr="004D2E48">
        <w:rPr>
          <w:lang w:val="it-IT"/>
        </w:rPr>
        <w:t xml:space="preserve">l </w:t>
      </w:r>
      <w:r w:rsidR="004D2E48" w:rsidRPr="004D2E48">
        <w:rPr>
          <w:b/>
          <w:bCs/>
          <w:lang w:val="it-IT"/>
        </w:rPr>
        <w:t>Real Estate DATA HUB</w:t>
      </w:r>
      <w:r w:rsidR="004D2E48" w:rsidRPr="004D2E48">
        <w:rPr>
          <w:lang w:val="it-IT"/>
        </w:rPr>
        <w:t xml:space="preserve"> offre un punto di vista originale e costantemente aggiornato del panorama immobiliare italiano. Considerazioni e previsioni sono basate su dati reali di transato, know how ed expertise messi a fattor comune ed elaborati congiuntamente dal Centro Studi di RE/MAX Italia, dal Centro Studi di Avalon Real Estate e dall’Ufficio Studi di 24MAX e supportate da tabelle, grafici e infografiche puntuali. </w:t>
      </w:r>
      <w:r w:rsidRPr="00485C2E">
        <w:rPr>
          <w:lang w:val="it-IT"/>
        </w:rPr>
        <w:t>Giunto alla sesta pubblicazione in due anni, Real Estate DATA HUB si sta affermando tra gli operatori del settore immobiliare come un valido e</w:t>
      </w:r>
      <w:r w:rsidR="00F802FE">
        <w:rPr>
          <w:lang w:val="it-IT"/>
        </w:rPr>
        <w:t xml:space="preserve"> </w:t>
      </w:r>
      <w:r w:rsidRPr="00485C2E">
        <w:rPr>
          <w:lang w:val="it-IT"/>
        </w:rPr>
        <w:t>innovativo strumento di analisi.</w:t>
      </w:r>
    </w:p>
    <w:p w14:paraId="497BAA18" w14:textId="0550F46E" w:rsidR="00255B28" w:rsidRDefault="00255B28" w:rsidP="00255B28">
      <w:pPr>
        <w:pBdr>
          <w:top w:val="nil"/>
          <w:left w:val="nil"/>
          <w:bottom w:val="nil"/>
          <w:right w:val="nil"/>
          <w:between w:val="nil"/>
        </w:pBdr>
        <w:jc w:val="both"/>
        <w:rPr>
          <w:lang w:val="it-IT"/>
        </w:rPr>
      </w:pPr>
      <w:r w:rsidRPr="005445B2">
        <w:rPr>
          <w:lang w:val="it-IT"/>
        </w:rPr>
        <w:t>La nuova edizione di Real Estate DATA HUB contiene esclusive analisi sull’</w:t>
      </w:r>
      <w:r w:rsidRPr="005445B2">
        <w:rPr>
          <w:b/>
          <w:bCs/>
          <w:lang w:val="it-IT"/>
        </w:rPr>
        <w:t>andamento del mercato immobiliare italiano nel terzo trimestre 2022</w:t>
      </w:r>
      <w:r w:rsidRPr="005445B2">
        <w:rPr>
          <w:lang w:val="it-IT"/>
        </w:rPr>
        <w:t xml:space="preserve"> con dettagliati </w:t>
      </w:r>
      <w:r w:rsidRPr="005445B2">
        <w:rPr>
          <w:b/>
          <w:bCs/>
          <w:lang w:val="it-IT"/>
        </w:rPr>
        <w:t xml:space="preserve">approfondimenti sulle città di Milano, Roma, Genova e Torino </w:t>
      </w:r>
      <w:r w:rsidRPr="005445B2">
        <w:rPr>
          <w:lang w:val="it-IT"/>
        </w:rPr>
        <w:t>e delle relative regioni, esaminate per singoli comparti: residenziale, direzionale, commerciale e logistico.</w:t>
      </w:r>
      <w:r w:rsidRPr="004D2E48">
        <w:rPr>
          <w:lang w:val="it-IT"/>
        </w:rPr>
        <w:t xml:space="preserve"> </w:t>
      </w:r>
    </w:p>
    <w:p w14:paraId="1EEC004B" w14:textId="77777777" w:rsidR="00F802FE" w:rsidRPr="00F802FE" w:rsidRDefault="004D2E48" w:rsidP="00F802FE">
      <w:pPr>
        <w:pBdr>
          <w:top w:val="single" w:sz="4" w:space="1" w:color="auto"/>
          <w:left w:val="single" w:sz="4" w:space="4" w:color="auto"/>
          <w:bottom w:val="single" w:sz="4" w:space="1" w:color="auto"/>
          <w:right w:val="single" w:sz="4" w:space="4" w:color="auto"/>
        </w:pBdr>
        <w:spacing w:line="360" w:lineRule="auto"/>
        <w:jc w:val="center"/>
        <w:rPr>
          <w:b/>
          <w:color w:val="DC1D2E"/>
          <w:sz w:val="22"/>
          <w:szCs w:val="22"/>
          <w:highlight w:val="yellow"/>
          <w:lang w:val="it-IT"/>
        </w:rPr>
      </w:pPr>
      <w:r w:rsidRPr="004D2E48">
        <w:rPr>
          <w:b/>
          <w:bCs/>
          <w:color w:val="DC1D2E"/>
          <w:sz w:val="22"/>
          <w:szCs w:val="22"/>
          <w:lang w:val="it-IT"/>
        </w:rPr>
        <w:lastRenderedPageBreak/>
        <w:t xml:space="preserve">Sfoglia la versione integrale dell’edizione </w:t>
      </w:r>
      <w:r>
        <w:rPr>
          <w:b/>
          <w:bCs/>
          <w:color w:val="DC1D2E"/>
          <w:sz w:val="22"/>
          <w:szCs w:val="22"/>
          <w:lang w:val="it-IT"/>
        </w:rPr>
        <w:t>Q3</w:t>
      </w:r>
      <w:r w:rsidRPr="004D2E48">
        <w:rPr>
          <w:b/>
          <w:bCs/>
          <w:color w:val="DC1D2E"/>
          <w:sz w:val="22"/>
          <w:szCs w:val="22"/>
          <w:lang w:val="it-IT"/>
        </w:rPr>
        <w:t xml:space="preserve"> 2022 di </w:t>
      </w:r>
      <w:r>
        <w:rPr>
          <w:b/>
          <w:bCs/>
          <w:color w:val="DC1D2E"/>
          <w:sz w:val="22"/>
          <w:szCs w:val="22"/>
          <w:lang w:val="it-IT"/>
        </w:rPr>
        <w:t>R</w:t>
      </w:r>
      <w:r w:rsidRPr="004D2E48">
        <w:rPr>
          <w:b/>
          <w:bCs/>
          <w:color w:val="DC1D2E"/>
          <w:sz w:val="22"/>
          <w:szCs w:val="22"/>
          <w:lang w:val="it-IT"/>
        </w:rPr>
        <w:t xml:space="preserve">eal </w:t>
      </w:r>
      <w:r>
        <w:rPr>
          <w:b/>
          <w:bCs/>
          <w:color w:val="DC1D2E"/>
          <w:sz w:val="22"/>
          <w:szCs w:val="22"/>
          <w:lang w:val="it-IT"/>
        </w:rPr>
        <w:t>E</w:t>
      </w:r>
      <w:r w:rsidRPr="004D2E48">
        <w:rPr>
          <w:b/>
          <w:bCs/>
          <w:color w:val="DC1D2E"/>
          <w:sz w:val="22"/>
          <w:szCs w:val="22"/>
          <w:lang w:val="it-IT"/>
        </w:rPr>
        <w:t xml:space="preserve">state DATA HUB al seguente link: </w:t>
      </w:r>
      <w:hyperlink r:id="rId10" w:history="1">
        <w:r w:rsidR="00F802FE" w:rsidRPr="00F802FE">
          <w:rPr>
            <w:rStyle w:val="Collegamentoipertestuale"/>
            <w:b/>
            <w:sz w:val="22"/>
            <w:szCs w:val="22"/>
            <w:lang w:val="it-IT"/>
          </w:rPr>
          <w:t>https://user-75022683325.cld.bz/REAL-ESTATE-Data-Hub-Q3-2022</w:t>
        </w:r>
      </w:hyperlink>
    </w:p>
    <w:p w14:paraId="7A133108" w14:textId="5ED3FD62" w:rsidR="004D2E48" w:rsidRPr="004D2E48" w:rsidRDefault="004D2E48" w:rsidP="004D2E48">
      <w:pPr>
        <w:pBdr>
          <w:top w:val="single" w:sz="4" w:space="1" w:color="auto"/>
          <w:left w:val="single" w:sz="4" w:space="4" w:color="auto"/>
          <w:bottom w:val="single" w:sz="4" w:space="1" w:color="auto"/>
          <w:right w:val="single" w:sz="4" w:space="4" w:color="auto"/>
        </w:pBdr>
        <w:spacing w:line="360" w:lineRule="auto"/>
        <w:jc w:val="center"/>
        <w:rPr>
          <w:b/>
          <w:color w:val="DC1D2E"/>
          <w:sz w:val="22"/>
          <w:szCs w:val="22"/>
          <w:lang w:val="it-IT"/>
        </w:rPr>
      </w:pPr>
    </w:p>
    <w:p w14:paraId="42D356BD" w14:textId="00D6455E" w:rsidR="000F1288" w:rsidRDefault="004D2E48" w:rsidP="004D2E48">
      <w:pPr>
        <w:pBdr>
          <w:top w:val="single" w:sz="4" w:space="1" w:color="auto"/>
          <w:left w:val="single" w:sz="4" w:space="4" w:color="auto"/>
          <w:bottom w:val="single" w:sz="4" w:space="1" w:color="auto"/>
          <w:right w:val="single" w:sz="4" w:space="4" w:color="auto"/>
        </w:pBdr>
        <w:spacing w:line="360" w:lineRule="auto"/>
        <w:jc w:val="center"/>
        <w:rPr>
          <w:b/>
          <w:color w:val="004A99"/>
          <w:sz w:val="22"/>
          <w:szCs w:val="22"/>
          <w:lang w:val="it-IT"/>
        </w:rPr>
      </w:pPr>
      <w:r w:rsidRPr="004D2E48">
        <w:rPr>
          <w:b/>
          <w:bCs/>
          <w:color w:val="DC1D2E"/>
          <w:sz w:val="22"/>
          <w:szCs w:val="22"/>
          <w:lang w:val="it-IT"/>
        </w:rPr>
        <w:t xml:space="preserve">Scarica la versione integrale dell’edizione </w:t>
      </w:r>
      <w:r>
        <w:rPr>
          <w:b/>
          <w:bCs/>
          <w:color w:val="DC1D2E"/>
          <w:sz w:val="22"/>
          <w:szCs w:val="22"/>
          <w:lang w:val="it-IT"/>
        </w:rPr>
        <w:t>Q3</w:t>
      </w:r>
      <w:r w:rsidRPr="004D2E48">
        <w:rPr>
          <w:b/>
          <w:bCs/>
          <w:color w:val="DC1D2E"/>
          <w:sz w:val="22"/>
          <w:szCs w:val="22"/>
          <w:lang w:val="it-IT"/>
        </w:rPr>
        <w:t xml:space="preserve"> 2022 di Real Estate DATA HUB al seguente link: </w:t>
      </w:r>
      <w:hyperlink r:id="rId11" w:history="1">
        <w:r w:rsidR="00F802FE" w:rsidRPr="00F802FE">
          <w:rPr>
            <w:rStyle w:val="Collegamentoipertestuale"/>
            <w:b/>
            <w:sz w:val="22"/>
            <w:szCs w:val="22"/>
            <w:lang w:val="it-IT"/>
          </w:rPr>
          <w:t>https://www.dropbox.com/s/vfz9330anp6shfu/REAL%20ESTATE%20Data%20Hub%20Q3-2022.pdf?dl=0</w:t>
        </w:r>
      </w:hyperlink>
    </w:p>
    <w:p w14:paraId="285E2DB8" w14:textId="77777777" w:rsidR="00855BC2" w:rsidRPr="00F86A19" w:rsidRDefault="00855BC2" w:rsidP="00360D01">
      <w:pPr>
        <w:jc w:val="both"/>
        <w:rPr>
          <w:lang w:val="it-IT"/>
        </w:rPr>
      </w:pPr>
    </w:p>
    <w:p w14:paraId="57A3D8C2" w14:textId="77777777" w:rsidR="0094627F" w:rsidRDefault="0094627F" w:rsidP="00360D01">
      <w:pPr>
        <w:jc w:val="both"/>
        <w:rPr>
          <w:b/>
          <w:color w:val="004A99"/>
          <w:lang w:val="it-IT"/>
        </w:rPr>
      </w:pPr>
    </w:p>
    <w:p w14:paraId="556E3FA8" w14:textId="2A4296E7" w:rsidR="00855BC2" w:rsidRPr="007B004F" w:rsidRDefault="00855BC2" w:rsidP="00360D01">
      <w:pPr>
        <w:jc w:val="both"/>
        <w:rPr>
          <w:b/>
          <w:color w:val="004A99"/>
          <w:lang w:val="it-IT"/>
        </w:rPr>
      </w:pPr>
      <w:r w:rsidRPr="007B004F">
        <w:rPr>
          <w:b/>
          <w:color w:val="004A99"/>
          <w:lang w:val="it-IT"/>
        </w:rPr>
        <w:t>COMPANY</w:t>
      </w:r>
      <w:r w:rsidRPr="007B004F">
        <w:rPr>
          <w:b/>
          <w:lang w:val="it-IT"/>
        </w:rPr>
        <w:t xml:space="preserve"> </w:t>
      </w:r>
      <w:r w:rsidRPr="007B004F">
        <w:rPr>
          <w:b/>
          <w:color w:val="004A99"/>
          <w:lang w:val="it-IT"/>
        </w:rPr>
        <w:t>PROFILE RE/MAX ITALIA – remax.it</w:t>
      </w:r>
    </w:p>
    <w:p w14:paraId="007B4832" w14:textId="77777777" w:rsidR="00B24828" w:rsidRPr="00B24828" w:rsidRDefault="00B24828" w:rsidP="00B24828">
      <w:pPr>
        <w:jc w:val="both"/>
        <w:rPr>
          <w:sz w:val="18"/>
          <w:szCs w:val="18"/>
          <w:lang w:val="it-IT"/>
        </w:rPr>
      </w:pPr>
      <w:r w:rsidRPr="00B24828">
        <w:rPr>
          <w:sz w:val="18"/>
          <w:szCs w:val="18"/>
          <w:lang w:val="it-IT"/>
        </w:rPr>
        <w:t xml:space="preserve">Fondata in USA nel 1973 da Dave e Gail Liniger, RE/MAX approda in </w:t>
      </w:r>
      <w:r w:rsidRPr="00B24828">
        <w:rPr>
          <w:b/>
          <w:bCs/>
          <w:sz w:val="18"/>
          <w:szCs w:val="18"/>
          <w:lang w:val="it-IT"/>
        </w:rPr>
        <w:t>Italia nel 1996</w:t>
      </w:r>
      <w:r w:rsidRPr="00B24828">
        <w:rPr>
          <w:sz w:val="18"/>
          <w:szCs w:val="18"/>
          <w:lang w:val="it-IT"/>
        </w:rPr>
        <w:t xml:space="preserve"> grazie alla lungimirante visione di </w:t>
      </w:r>
      <w:r w:rsidRPr="00B24828">
        <w:rPr>
          <w:b/>
          <w:bCs/>
          <w:sz w:val="18"/>
          <w:szCs w:val="18"/>
          <w:lang w:val="it-IT"/>
        </w:rPr>
        <w:t>Dario Castiglia</w:t>
      </w:r>
      <w:r w:rsidRPr="00B24828">
        <w:rPr>
          <w:sz w:val="18"/>
          <w:szCs w:val="18"/>
          <w:lang w:val="it-IT"/>
        </w:rPr>
        <w:t>, tutt’oggi alla guida del network immobiliare. Anno dopo anno RE/MAX rafforza la leadership</w:t>
      </w:r>
      <w:r w:rsidRPr="00B24828">
        <w:rPr>
          <w:b/>
          <w:bCs/>
          <w:sz w:val="18"/>
          <w:szCs w:val="18"/>
          <w:lang w:val="it-IT"/>
        </w:rPr>
        <w:t xml:space="preserve"> a livello mondiale</w:t>
      </w:r>
      <w:r w:rsidRPr="00B24828">
        <w:rPr>
          <w:sz w:val="18"/>
          <w:szCs w:val="18"/>
          <w:lang w:val="it-IT"/>
        </w:rPr>
        <w:t xml:space="preserve">, dove oggi è presente in oltre 115 Paesi con quasi 9.000 agenzie e 142.000 agenti affiliati. Con un esclusivo </w:t>
      </w:r>
      <w:r w:rsidRPr="00B24828">
        <w:rPr>
          <w:b/>
          <w:bCs/>
          <w:sz w:val="18"/>
          <w:szCs w:val="18"/>
          <w:lang w:val="it-IT"/>
        </w:rPr>
        <w:t>modello di business basato sullo studio associato</w:t>
      </w:r>
      <w:r w:rsidRPr="00B24828">
        <w:rPr>
          <w:sz w:val="18"/>
          <w:szCs w:val="18"/>
          <w:lang w:val="it-IT"/>
        </w:rPr>
        <w:t xml:space="preserve"> in cui vige la </w:t>
      </w:r>
      <w:r w:rsidRPr="00B24828">
        <w:rPr>
          <w:b/>
          <w:bCs/>
          <w:sz w:val="18"/>
          <w:szCs w:val="18"/>
          <w:lang w:val="it-IT"/>
        </w:rPr>
        <w:t>formula “win-win”</w:t>
      </w:r>
      <w:r w:rsidRPr="00B24828">
        <w:rPr>
          <w:sz w:val="18"/>
          <w:szCs w:val="18"/>
          <w:lang w:val="it-IT"/>
        </w:rPr>
        <w:t xml:space="preserve">, </w:t>
      </w:r>
      <w:r w:rsidRPr="00B24828">
        <w:rPr>
          <w:b/>
          <w:bCs/>
          <w:sz w:val="18"/>
          <w:szCs w:val="18"/>
          <w:lang w:val="it-IT"/>
        </w:rPr>
        <w:t>in Italia RE/MAX si è distinta nel panorama dei gruppi immobiliari in franchising in termini di velocità di crescita ed espansione sul territorio nazionale.</w:t>
      </w:r>
      <w:r w:rsidRPr="00B24828">
        <w:rPr>
          <w:sz w:val="18"/>
          <w:szCs w:val="18"/>
          <w:lang w:val="it-IT"/>
        </w:rPr>
        <w:t xml:space="preserve"> </w:t>
      </w:r>
    </w:p>
    <w:p w14:paraId="148D6149" w14:textId="77777777" w:rsidR="00B24828" w:rsidRPr="00B24828" w:rsidRDefault="00B24828" w:rsidP="00B24828">
      <w:pPr>
        <w:jc w:val="both"/>
        <w:rPr>
          <w:sz w:val="18"/>
          <w:szCs w:val="18"/>
          <w:lang w:val="it-IT"/>
        </w:rPr>
      </w:pPr>
      <w:r w:rsidRPr="00B24828">
        <w:rPr>
          <w:sz w:val="18"/>
          <w:szCs w:val="18"/>
          <w:lang w:val="it-IT"/>
        </w:rPr>
        <w:t xml:space="preserve">Nel 2021 RE/MAX Italia ha registrato un </w:t>
      </w:r>
      <w:r w:rsidRPr="00B24828">
        <w:rPr>
          <w:b/>
          <w:bCs/>
          <w:sz w:val="18"/>
          <w:szCs w:val="18"/>
          <w:lang w:val="it-IT"/>
        </w:rPr>
        <w:t>incremento del fatturato aggregato del 36 % rispetto al 2020, superando i 110 milioni di euro</w:t>
      </w:r>
      <w:r w:rsidRPr="00B24828">
        <w:rPr>
          <w:sz w:val="18"/>
          <w:szCs w:val="18"/>
          <w:lang w:val="it-IT"/>
        </w:rPr>
        <w:t xml:space="preserve">. </w:t>
      </w:r>
      <w:r w:rsidRPr="00B24828">
        <w:rPr>
          <w:b/>
          <w:bCs/>
          <w:sz w:val="18"/>
          <w:szCs w:val="18"/>
          <w:lang w:val="it-IT"/>
        </w:rPr>
        <w:t>Crescita esponenziale pari a +38 % anche per i volumi transati che raggiungono i 3,6 miliardi di euro a fronte di circa 26.000 transazioni</w:t>
      </w:r>
      <w:r w:rsidRPr="00B24828">
        <w:rPr>
          <w:sz w:val="18"/>
          <w:szCs w:val="18"/>
          <w:lang w:val="it-IT"/>
        </w:rPr>
        <w:t xml:space="preserve">, anch’esse in aumento rispetto al 2020 (+33 %), ma anche al 2019 (+26 %). Traguardi frutto di una </w:t>
      </w:r>
      <w:r w:rsidRPr="00B24828">
        <w:rPr>
          <w:b/>
          <w:bCs/>
          <w:sz w:val="18"/>
          <w:szCs w:val="18"/>
          <w:lang w:val="it-IT"/>
        </w:rPr>
        <w:t xml:space="preserve">strategia fortemente orientata all’utilizzo di strumenti tecnologici, </w:t>
      </w:r>
      <w:r w:rsidRPr="00B24828">
        <w:rPr>
          <w:sz w:val="18"/>
          <w:szCs w:val="18"/>
          <w:lang w:val="it-IT"/>
        </w:rPr>
        <w:t xml:space="preserve">a </w:t>
      </w:r>
      <w:r w:rsidRPr="00B24828">
        <w:rPr>
          <w:b/>
          <w:bCs/>
          <w:sz w:val="18"/>
          <w:szCs w:val="18"/>
          <w:lang w:val="it-IT"/>
        </w:rPr>
        <w:t>programmi formativi d’eccellenza erogati da RE/MAX University</w:t>
      </w:r>
      <w:r w:rsidRPr="00B24828">
        <w:rPr>
          <w:sz w:val="18"/>
          <w:szCs w:val="18"/>
          <w:lang w:val="it-IT"/>
        </w:rPr>
        <w:t xml:space="preserve"> in collaborazione con prestigiosi istituti universitari</w:t>
      </w:r>
      <w:r w:rsidRPr="00B24828">
        <w:rPr>
          <w:b/>
          <w:bCs/>
          <w:sz w:val="18"/>
          <w:szCs w:val="18"/>
          <w:lang w:val="it-IT"/>
        </w:rPr>
        <w:t xml:space="preserve"> e al recruitment dei migliori professionisti attivi sul mercato</w:t>
      </w:r>
      <w:r w:rsidRPr="00B24828">
        <w:rPr>
          <w:sz w:val="18"/>
          <w:szCs w:val="18"/>
          <w:lang w:val="it-IT"/>
        </w:rPr>
        <w:t xml:space="preserve">. Inoltre, RE/MAX è stata premiata da Great Place to Work® Italia come Certified Company 2022, un’organizzazione nella quale, secondo un’indagine sul clima interno, i collaboratori hanno espresso grande soddisfazione e opinioni positive. Questo è stato possibile perché da sempre l’attività di RE/MAX è focalizzata sul benessere delle persone ed è contraddistinta da un clima organizzativo basato su relazioni di fiducia. </w:t>
      </w:r>
    </w:p>
    <w:p w14:paraId="0ED9ED10" w14:textId="77777777" w:rsidR="00B24828" w:rsidRPr="00B24828" w:rsidRDefault="00B24828" w:rsidP="00B24828">
      <w:pPr>
        <w:jc w:val="both"/>
        <w:rPr>
          <w:sz w:val="18"/>
          <w:szCs w:val="18"/>
          <w:lang w:val="it-IT"/>
        </w:rPr>
      </w:pPr>
      <w:r w:rsidRPr="00B24828">
        <w:rPr>
          <w:sz w:val="18"/>
          <w:szCs w:val="18"/>
          <w:lang w:val="it-IT"/>
        </w:rPr>
        <w:t xml:space="preserve">Il tutto con la promessa al cliente di </w:t>
      </w:r>
      <w:r w:rsidRPr="00B24828">
        <w:rPr>
          <w:b/>
          <w:bCs/>
          <w:sz w:val="18"/>
          <w:szCs w:val="18"/>
          <w:lang w:val="it-IT"/>
        </w:rPr>
        <w:t>trovare il miglior acquirente, e trovarlo rapidamente, rendendo la customer experience</w:t>
      </w:r>
      <w:r w:rsidRPr="00B24828">
        <w:rPr>
          <w:sz w:val="18"/>
          <w:szCs w:val="18"/>
          <w:lang w:val="it-IT"/>
        </w:rPr>
        <w:t xml:space="preserve"> più confortevole e</w:t>
      </w:r>
      <w:r w:rsidRPr="00B24828">
        <w:rPr>
          <w:b/>
          <w:bCs/>
          <w:sz w:val="18"/>
          <w:szCs w:val="18"/>
          <w:lang w:val="it-IT"/>
        </w:rPr>
        <w:t xml:space="preserve"> più soddisfacente in termini economici. </w:t>
      </w:r>
    </w:p>
    <w:p w14:paraId="59683EFD" w14:textId="77777777" w:rsidR="00B24828" w:rsidRPr="00B24828" w:rsidRDefault="00B24828" w:rsidP="00B24828">
      <w:pPr>
        <w:jc w:val="both"/>
        <w:rPr>
          <w:sz w:val="18"/>
          <w:szCs w:val="18"/>
          <w:lang w:val="it-IT"/>
        </w:rPr>
      </w:pPr>
      <w:r w:rsidRPr="00B24828">
        <w:rPr>
          <w:b/>
          <w:bCs/>
          <w:sz w:val="18"/>
          <w:szCs w:val="18"/>
          <w:lang w:val="it-IT"/>
        </w:rPr>
        <w:t>Altro plus esclusivo</w:t>
      </w:r>
      <w:r w:rsidRPr="00B24828">
        <w:rPr>
          <w:sz w:val="18"/>
          <w:szCs w:val="18"/>
          <w:lang w:val="it-IT"/>
        </w:rPr>
        <w:t xml:space="preserve"> del Gruppo RE/MAX, </w:t>
      </w:r>
      <w:r w:rsidRPr="00B24828">
        <w:rPr>
          <w:b/>
          <w:bCs/>
          <w:sz w:val="18"/>
          <w:szCs w:val="18"/>
          <w:lang w:val="it-IT"/>
        </w:rPr>
        <w:t>l’attività svolta dal Centro Studi RE/MAX</w:t>
      </w:r>
      <w:r w:rsidRPr="00B24828">
        <w:rPr>
          <w:sz w:val="18"/>
          <w:szCs w:val="18"/>
          <w:lang w:val="it-IT"/>
        </w:rPr>
        <w:t>, che mette a disposizione del network in tempo reale informazioni qualitative e quantitative, con focus sull’andamento dei prezzi e sulle tendenze delle diverse aree geografiche e dei desiderata di venditori e compratori, raccolti nei report periodici di Real Estate DATA HUB.</w:t>
      </w:r>
    </w:p>
    <w:p w14:paraId="17992162" w14:textId="68A25B48" w:rsidR="004D2E48" w:rsidRDefault="004D2E48" w:rsidP="00360D01">
      <w:pPr>
        <w:jc w:val="both"/>
        <w:rPr>
          <w:sz w:val="18"/>
          <w:szCs w:val="18"/>
          <w:lang w:val="it-IT"/>
        </w:rPr>
      </w:pPr>
    </w:p>
    <w:p w14:paraId="3E9307A4" w14:textId="77777777" w:rsidR="004D2E48" w:rsidRPr="004D2E48" w:rsidRDefault="004D2E48" w:rsidP="004D2E48">
      <w:pPr>
        <w:jc w:val="both"/>
        <w:rPr>
          <w:b/>
          <w:color w:val="004A99"/>
          <w:lang w:val="it-IT"/>
        </w:rPr>
      </w:pPr>
      <w:r w:rsidRPr="004D2E48">
        <w:rPr>
          <w:b/>
          <w:color w:val="004A99"/>
          <w:lang w:val="it-IT"/>
        </w:rPr>
        <w:t xml:space="preserve">COMPANY PROFILE AVALON REAL ESTATE </w:t>
      </w:r>
    </w:p>
    <w:p w14:paraId="2998F592" w14:textId="77777777" w:rsidR="004D2E48" w:rsidRPr="004D2E48" w:rsidRDefault="004D2E48" w:rsidP="004D2E48">
      <w:pPr>
        <w:jc w:val="both"/>
        <w:rPr>
          <w:sz w:val="18"/>
          <w:szCs w:val="18"/>
          <w:lang w:val="it-IT"/>
        </w:rPr>
      </w:pPr>
      <w:r w:rsidRPr="004D2E48">
        <w:rPr>
          <w:b/>
          <w:bCs/>
          <w:sz w:val="18"/>
          <w:szCs w:val="18"/>
          <w:lang w:val="it-IT"/>
        </w:rPr>
        <w:t xml:space="preserve">Avalon Real Estate, </w:t>
      </w:r>
      <w:r w:rsidRPr="004D2E48">
        <w:rPr>
          <w:sz w:val="18"/>
          <w:szCs w:val="18"/>
          <w:lang w:val="it-IT"/>
        </w:rPr>
        <w:t>società certificata RICS,</w:t>
      </w:r>
      <w:r w:rsidRPr="004D2E48">
        <w:rPr>
          <w:b/>
          <w:bCs/>
          <w:sz w:val="18"/>
          <w:szCs w:val="18"/>
          <w:lang w:val="it-IT"/>
        </w:rPr>
        <w:t xml:space="preserve"> </w:t>
      </w:r>
      <w:r w:rsidRPr="004D2E48">
        <w:rPr>
          <w:sz w:val="18"/>
          <w:szCs w:val="18"/>
          <w:lang w:val="it-IT"/>
        </w:rPr>
        <w:t>nasce nel 2002 da un gruppo di professionisti provenienti da ambiti specialistici eterogenei che decidono di mettere a fattor comune il proprio know-how e la propria passione e di finalizzarli al mondo del Real Estate.</w:t>
      </w:r>
    </w:p>
    <w:p w14:paraId="6C11B774" w14:textId="77777777" w:rsidR="004D2E48" w:rsidRPr="004D2E48" w:rsidRDefault="004D2E48" w:rsidP="004D2E48">
      <w:pPr>
        <w:jc w:val="both"/>
        <w:rPr>
          <w:sz w:val="18"/>
          <w:szCs w:val="18"/>
          <w:lang w:val="it-IT"/>
        </w:rPr>
      </w:pPr>
      <w:r w:rsidRPr="004D2E48">
        <w:rPr>
          <w:sz w:val="18"/>
          <w:szCs w:val="18"/>
          <w:lang w:val="it-IT"/>
        </w:rPr>
        <w:t>La cultura aziendale viene fondata sulla diversificazione delle competenze e sulla sinergia fra di esse, sulla volontà di garantire ai clienti risultati affidabili e tempestivi, sulla formazione e crescita continua.</w:t>
      </w:r>
    </w:p>
    <w:p w14:paraId="7EB7E009" w14:textId="77777777" w:rsidR="004D2E48" w:rsidRPr="004D2E48" w:rsidRDefault="004D2E48" w:rsidP="004D2E48">
      <w:pPr>
        <w:jc w:val="both"/>
        <w:rPr>
          <w:sz w:val="18"/>
          <w:szCs w:val="18"/>
          <w:lang w:val="it-IT"/>
        </w:rPr>
      </w:pPr>
      <w:r w:rsidRPr="004D2E48">
        <w:rPr>
          <w:sz w:val="18"/>
          <w:szCs w:val="18"/>
          <w:lang w:val="it-IT"/>
        </w:rPr>
        <w:t>Negli anni Avalon ha acquisito un grado sempre maggiore di riconoscimento e fiducia fra i propri clienti e si è affermata nel ruolo di consulente immobiliare, dando prova delle proprie capacità nell’individuare soluzioni su misura per ogni esigenza che può sorgere in fase di acquisizione, gestione e dismissione di patrimoni immobiliari.</w:t>
      </w:r>
    </w:p>
    <w:p w14:paraId="6F1AC60F" w14:textId="77777777" w:rsidR="004D2E48" w:rsidRPr="004D2E48" w:rsidRDefault="004D2E48" w:rsidP="004D2E48">
      <w:pPr>
        <w:jc w:val="both"/>
        <w:rPr>
          <w:sz w:val="18"/>
          <w:szCs w:val="18"/>
          <w:lang w:val="it-IT"/>
        </w:rPr>
      </w:pPr>
      <w:r w:rsidRPr="004D2E48">
        <w:rPr>
          <w:sz w:val="18"/>
          <w:szCs w:val="18"/>
          <w:lang w:val="it-IT"/>
        </w:rPr>
        <w:t xml:space="preserve">A completare il percorso di crescita nel 2017 nasce </w:t>
      </w:r>
      <w:r w:rsidRPr="004D2E48">
        <w:rPr>
          <w:b/>
          <w:bCs/>
          <w:sz w:val="18"/>
          <w:szCs w:val="18"/>
          <w:lang w:val="it-IT"/>
        </w:rPr>
        <w:t>Avalon Technical Services,</w:t>
      </w:r>
      <w:r w:rsidRPr="004D2E48">
        <w:rPr>
          <w:sz w:val="18"/>
          <w:szCs w:val="18"/>
          <w:lang w:val="it-IT"/>
        </w:rPr>
        <w:t xml:space="preserve"> focalizzata sui servizi di natura tecnica per affiancare i propri clienti nei momenti di indagine, progettazione, realizzazione e trasformazione dei propri asset immobiliari.</w:t>
      </w:r>
    </w:p>
    <w:p w14:paraId="712D12F9" w14:textId="65DA7D45" w:rsidR="004D2E48" w:rsidRDefault="004D2E48" w:rsidP="004D2E48">
      <w:pPr>
        <w:jc w:val="both"/>
        <w:rPr>
          <w:sz w:val="18"/>
          <w:szCs w:val="18"/>
          <w:lang w:val="it-IT"/>
        </w:rPr>
      </w:pPr>
      <w:r w:rsidRPr="004D2E48">
        <w:rPr>
          <w:sz w:val="18"/>
          <w:szCs w:val="18"/>
          <w:lang w:val="it-IT"/>
        </w:rPr>
        <w:t>Avalon opera come</w:t>
      </w:r>
      <w:r w:rsidRPr="004D2E48">
        <w:rPr>
          <w:b/>
          <w:bCs/>
          <w:sz w:val="18"/>
          <w:szCs w:val="18"/>
          <w:lang w:val="it-IT"/>
        </w:rPr>
        <w:t xml:space="preserve"> </w:t>
      </w:r>
      <w:r w:rsidRPr="004D2E48">
        <w:rPr>
          <w:sz w:val="18"/>
          <w:szCs w:val="18"/>
          <w:lang w:val="it-IT"/>
        </w:rPr>
        <w:t>unico</w:t>
      </w:r>
      <w:r w:rsidRPr="004D2E48">
        <w:rPr>
          <w:b/>
          <w:bCs/>
          <w:sz w:val="18"/>
          <w:szCs w:val="18"/>
          <w:lang w:val="it-IT"/>
        </w:rPr>
        <w:t xml:space="preserve"> </w:t>
      </w:r>
      <w:r w:rsidRPr="004D2E48">
        <w:rPr>
          <w:sz w:val="18"/>
          <w:szCs w:val="18"/>
          <w:lang w:val="it-IT"/>
        </w:rPr>
        <w:t>advisor attraverso le proprie competenze multidisciplinari garantendo un supporto strategico completo in ogni fase del processo di valorizzazione immobiliare.</w:t>
      </w:r>
    </w:p>
    <w:p w14:paraId="0A04A35A" w14:textId="77777777" w:rsidR="004D2E48" w:rsidRPr="004D2E48" w:rsidRDefault="004D2E48" w:rsidP="004D2E48">
      <w:pPr>
        <w:jc w:val="both"/>
        <w:rPr>
          <w:sz w:val="18"/>
          <w:szCs w:val="18"/>
          <w:lang w:val="it-IT"/>
        </w:rPr>
      </w:pPr>
    </w:p>
    <w:p w14:paraId="693DDF74" w14:textId="77777777" w:rsidR="004D2E48" w:rsidRPr="004D2E48" w:rsidRDefault="004D2E48" w:rsidP="004D2E48">
      <w:pPr>
        <w:jc w:val="both"/>
        <w:rPr>
          <w:b/>
          <w:color w:val="004A99"/>
          <w:lang w:val="it-IT"/>
        </w:rPr>
      </w:pPr>
      <w:r w:rsidRPr="004D2E48">
        <w:rPr>
          <w:b/>
          <w:color w:val="004A99"/>
          <w:lang w:val="it-IT"/>
        </w:rPr>
        <w:lastRenderedPageBreak/>
        <w:t>COMPANY PROFILE 24MAX</w:t>
      </w:r>
    </w:p>
    <w:p w14:paraId="05B24EDE" w14:textId="77777777" w:rsidR="004D2E48" w:rsidRPr="004D2E48" w:rsidRDefault="004D2E48" w:rsidP="004D2E48">
      <w:pPr>
        <w:jc w:val="both"/>
        <w:rPr>
          <w:sz w:val="18"/>
          <w:szCs w:val="18"/>
          <w:lang w:val="it-IT"/>
        </w:rPr>
      </w:pPr>
      <w:r w:rsidRPr="004D2E48">
        <w:rPr>
          <w:b/>
          <w:bCs/>
          <w:sz w:val="18"/>
          <w:szCs w:val="18"/>
          <w:lang w:val="it-IT"/>
        </w:rPr>
        <w:t>24MAX Spa</w:t>
      </w:r>
      <w:r w:rsidRPr="004D2E48">
        <w:rPr>
          <w:sz w:val="18"/>
          <w:szCs w:val="18"/>
          <w:lang w:val="it-IT"/>
        </w:rPr>
        <w:t xml:space="preserve"> è la Società di Mediazione Creditizia ideata e realizzata per dare una risposta concreta all’esigenza di consulenza finanziaria della clientela che compra casa affidandosi ad una Agenzia Immobiliare RE/MAX, in tempo reale. 24MAX è partecipata da RE/MAX Italia e 24Finance Spa. La mission è completare la Customer Experience della clientela, dalla scelta dell’abitazione all’ottenimento delle risorse finanziarie necessarie per l’acquisto. Nelle oltre 450 agenzie RE/MAX in Italia, in cui operano più di 4.600 consulenti immobiliari affiliati, sono stati allestiti corner finanziari in cui operano i Credit Specialist di 24MAX, professionisti selezionati tra i migliori presenti sul mercato del credito per la loro competenza ed esperienza.</w:t>
      </w:r>
    </w:p>
    <w:p w14:paraId="24885971" w14:textId="77777777" w:rsidR="004D2E48" w:rsidRPr="004D2E48" w:rsidRDefault="004D2E48" w:rsidP="004D2E48">
      <w:pPr>
        <w:jc w:val="both"/>
        <w:rPr>
          <w:b/>
          <w:bCs/>
          <w:i/>
          <w:iCs/>
          <w:sz w:val="18"/>
          <w:szCs w:val="18"/>
          <w:lang w:val="it-IT"/>
        </w:rPr>
      </w:pPr>
      <w:r w:rsidRPr="004D2E48">
        <w:rPr>
          <w:sz w:val="18"/>
          <w:szCs w:val="18"/>
          <w:lang w:val="it-IT"/>
        </w:rPr>
        <w:t xml:space="preserve">Ad oggi 24MAX ha attivato convenzioni con primari istituti di credito nazionali e territoriali, quali: Agos, Banca Centro Lazio, Banca del Veneto Centrale, Banca Progetto, BCC di Roma, Biver Banca, BlueBroker, BNL, CheBanca!, Compass, Credit Agricole, Extra Banca, Fincontinuo, Prestiamoci, Banca di Asti, IBL Banca, IBL Family, ING Bank e Younited.  </w:t>
      </w:r>
      <w:r w:rsidRPr="004D2E48">
        <w:rPr>
          <w:b/>
          <w:bCs/>
          <w:i/>
          <w:iCs/>
          <w:sz w:val="18"/>
          <w:szCs w:val="18"/>
          <w:lang w:val="it-IT"/>
        </w:rPr>
        <w:t xml:space="preserve"> </w:t>
      </w:r>
    </w:p>
    <w:p w14:paraId="3794B937" w14:textId="77777777" w:rsidR="004D2E48" w:rsidRPr="0094627F" w:rsidRDefault="004D2E48" w:rsidP="00360D01">
      <w:pPr>
        <w:jc w:val="both"/>
        <w:rPr>
          <w:sz w:val="18"/>
          <w:szCs w:val="18"/>
          <w:lang w:val="it-IT"/>
        </w:rPr>
      </w:pPr>
    </w:p>
    <w:p w14:paraId="45A3C4FB" w14:textId="54B5EF78" w:rsidR="00855BC2" w:rsidRPr="007B004F" w:rsidRDefault="00855BC2" w:rsidP="00B00E51">
      <w:pPr>
        <w:keepNext/>
        <w:keepLines/>
        <w:pBdr>
          <w:top w:val="nil"/>
          <w:left w:val="nil"/>
          <w:bottom w:val="nil"/>
          <w:right w:val="nil"/>
          <w:between w:val="nil"/>
        </w:pBdr>
        <w:spacing w:before="400"/>
        <w:jc w:val="both"/>
        <w:rPr>
          <w:b/>
          <w:color w:val="DC1C2E"/>
          <w:sz w:val="24"/>
          <w:szCs w:val="24"/>
          <w:lang w:val="it-IT"/>
        </w:rPr>
      </w:pPr>
      <w:r w:rsidRPr="007B004F">
        <w:rPr>
          <w:b/>
          <w:color w:val="DC1C2E"/>
          <w:sz w:val="24"/>
          <w:szCs w:val="24"/>
          <w:lang w:val="it-IT"/>
        </w:rPr>
        <w:t xml:space="preserve">Pinkommunication srl - Ufficio stampa </w:t>
      </w:r>
      <w:r w:rsidR="004B4A95">
        <w:rPr>
          <w:b/>
          <w:color w:val="DC1C2E"/>
          <w:sz w:val="24"/>
          <w:szCs w:val="24"/>
          <w:lang w:val="it-IT"/>
        </w:rPr>
        <w:t xml:space="preserve">di </w:t>
      </w:r>
      <w:r w:rsidRPr="007B004F">
        <w:rPr>
          <w:b/>
          <w:color w:val="DC1C2E"/>
          <w:sz w:val="24"/>
          <w:szCs w:val="24"/>
          <w:lang w:val="it-IT"/>
        </w:rPr>
        <w:t xml:space="preserve">RE/MAX Italia </w:t>
      </w:r>
      <w:r w:rsidR="00E76A5E">
        <w:rPr>
          <w:b/>
          <w:color w:val="DC1C2E"/>
          <w:sz w:val="24"/>
          <w:szCs w:val="24"/>
          <w:lang w:val="it-IT"/>
        </w:rPr>
        <w:t>e di 24MAX</w:t>
      </w:r>
    </w:p>
    <w:p w14:paraId="36C89DD6" w14:textId="77777777" w:rsidR="00855BC2" w:rsidRPr="007B004F" w:rsidRDefault="00855BC2" w:rsidP="00360D01">
      <w:pPr>
        <w:jc w:val="both"/>
        <w:rPr>
          <w:color w:val="000000"/>
          <w:lang w:val="it-IT"/>
        </w:rPr>
      </w:pPr>
      <w:r w:rsidRPr="007B004F">
        <w:rPr>
          <w:color w:val="000000"/>
          <w:lang w:val="it-IT"/>
        </w:rPr>
        <w:t xml:space="preserve">Cristina Cortellezzi – Laura Premoli – Claudia Valerani </w:t>
      </w:r>
    </w:p>
    <w:p w14:paraId="495BED9D" w14:textId="77777777" w:rsidR="00855BC2" w:rsidRPr="007B004F" w:rsidRDefault="00275264" w:rsidP="00360D01">
      <w:pPr>
        <w:jc w:val="both"/>
        <w:rPr>
          <w:color w:val="000000"/>
          <w:lang w:val="it-IT"/>
        </w:rPr>
      </w:pPr>
      <w:hyperlink r:id="rId12" w:history="1">
        <w:r w:rsidR="00855BC2" w:rsidRPr="007B004F">
          <w:rPr>
            <w:color w:val="000000"/>
            <w:lang w:val="it-IT"/>
          </w:rPr>
          <w:t>info@pinkommunication.it</w:t>
        </w:r>
      </w:hyperlink>
      <w:r w:rsidR="00855BC2" w:rsidRPr="007B004F">
        <w:rPr>
          <w:color w:val="000000"/>
          <w:lang w:val="it-IT"/>
        </w:rPr>
        <w:t xml:space="preserve"> </w:t>
      </w:r>
    </w:p>
    <w:p w14:paraId="66B775D3" w14:textId="77777777" w:rsidR="00855BC2" w:rsidRPr="007B004F" w:rsidRDefault="00855BC2" w:rsidP="00360D01">
      <w:pPr>
        <w:jc w:val="both"/>
        <w:rPr>
          <w:color w:val="000000"/>
          <w:lang w:val="it-IT"/>
        </w:rPr>
      </w:pPr>
      <w:r w:rsidRPr="007B004F">
        <w:rPr>
          <w:color w:val="000000"/>
          <w:lang w:val="it-IT"/>
        </w:rPr>
        <w:t>T. 02 89077160 – M. 340 1044227</w:t>
      </w:r>
    </w:p>
    <w:p w14:paraId="07DFA815" w14:textId="147BDA42" w:rsidR="00497C73" w:rsidRPr="0094627F" w:rsidRDefault="00497C73" w:rsidP="00AB47B5">
      <w:pPr>
        <w:jc w:val="both"/>
        <w:rPr>
          <w:lang w:val="it-IT"/>
        </w:rPr>
      </w:pPr>
    </w:p>
    <w:sectPr w:rsidR="00497C73" w:rsidRPr="0094627F" w:rsidSect="00360D01">
      <w:headerReference w:type="even" r:id="rId13"/>
      <w:headerReference w:type="default" r:id="rId14"/>
      <w:footerReference w:type="even" r:id="rId15"/>
      <w:footerReference w:type="default" r:id="rId16"/>
      <w:headerReference w:type="first" r:id="rId17"/>
      <w:footerReference w:type="first" r:id="rId18"/>
      <w:pgSz w:w="11906" w:h="16838"/>
      <w:pgMar w:top="1508" w:right="851" w:bottom="1985" w:left="851" w:header="567" w:footer="76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7FF28" w14:textId="77777777" w:rsidR="0047005C" w:rsidRDefault="0047005C">
      <w:pPr>
        <w:spacing w:line="240" w:lineRule="auto"/>
      </w:pPr>
      <w:r>
        <w:separator/>
      </w:r>
    </w:p>
  </w:endnote>
  <w:endnote w:type="continuationSeparator" w:id="0">
    <w:p w14:paraId="1E505257" w14:textId="77777777" w:rsidR="0047005C" w:rsidRDefault="00470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D16D4" w14:textId="77777777" w:rsidR="00275264" w:rsidRDefault="002752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D887B" w14:textId="77777777" w:rsidR="002F117C" w:rsidRDefault="002F117C">
    <w:pPr>
      <w:widowControl w:val="0"/>
      <w:pBdr>
        <w:top w:val="nil"/>
        <w:left w:val="nil"/>
        <w:bottom w:val="nil"/>
        <w:right w:val="nil"/>
        <w:between w:val="nil"/>
      </w:pBdr>
      <w:rPr>
        <w:color w:val="626366"/>
        <w:sz w:val="2"/>
        <w:szCs w:val="2"/>
      </w:rPr>
    </w:pPr>
  </w:p>
  <w:tbl>
    <w:tblPr>
      <w:tblStyle w:val="a1"/>
      <w:tblW w:w="10206" w:type="dxa"/>
      <w:tblInd w:w="85" w:type="dxa"/>
      <w:tblBorders>
        <w:top w:val="nil"/>
        <w:left w:val="nil"/>
        <w:bottom w:val="nil"/>
        <w:right w:val="nil"/>
        <w:insideH w:val="nil"/>
        <w:insideV w:val="nil"/>
      </w:tblBorders>
      <w:tblLayout w:type="fixed"/>
      <w:tblLook w:val="0400" w:firstRow="0" w:lastRow="0" w:firstColumn="0" w:lastColumn="0" w:noHBand="0" w:noVBand="1"/>
    </w:tblPr>
    <w:tblGrid>
      <w:gridCol w:w="4374"/>
      <w:gridCol w:w="5832"/>
    </w:tblGrid>
    <w:tr w:rsidR="002F117C" w14:paraId="609574C7" w14:textId="77777777">
      <w:tc>
        <w:tcPr>
          <w:tcW w:w="4374" w:type="dxa"/>
        </w:tcPr>
        <w:p w14:paraId="4769898F" w14:textId="77777777" w:rsidR="002F117C" w:rsidRDefault="00B66A89">
          <w:pPr>
            <w:spacing w:before="60" w:line="240" w:lineRule="auto"/>
          </w:pPr>
          <w:r>
            <w:rPr>
              <w:noProof/>
            </w:rPr>
            <w:drawing>
              <wp:inline distT="0" distB="0" distL="0" distR="0" wp14:anchorId="0D6A90B7" wp14:editId="4C3E79C5">
                <wp:extent cx="1044000" cy="19265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44000" cy="192650"/>
                        </a:xfrm>
                        <a:prstGeom prst="rect">
                          <a:avLst/>
                        </a:prstGeom>
                        <a:ln/>
                      </pic:spPr>
                    </pic:pic>
                  </a:graphicData>
                </a:graphic>
              </wp:inline>
            </w:drawing>
          </w:r>
        </w:p>
        <w:p w14:paraId="36CF199A" w14:textId="482F1013" w:rsidR="002F117C" w:rsidRDefault="00360D01">
          <w:pPr>
            <w:tabs>
              <w:tab w:val="right" w:pos="9923"/>
            </w:tabs>
            <w:spacing w:before="60" w:line="240" w:lineRule="auto"/>
            <w:rPr>
              <w:color w:val="007DC3"/>
              <w:sz w:val="27"/>
              <w:szCs w:val="27"/>
            </w:rPr>
          </w:pPr>
          <w:r>
            <w:rPr>
              <w:color w:val="DC1C2E"/>
              <w:sz w:val="27"/>
              <w:szCs w:val="27"/>
            </w:rPr>
            <w:t>Italia</w:t>
          </w:r>
        </w:p>
      </w:tc>
      <w:tc>
        <w:tcPr>
          <w:tcW w:w="5832" w:type="dxa"/>
          <w:vAlign w:val="bottom"/>
        </w:tcPr>
        <w:p w14:paraId="4215FCF1" w14:textId="77777777" w:rsidR="002F117C" w:rsidRDefault="00B66A89">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r>
            <w:rPr>
              <w:color w:val="003DA5"/>
              <w:sz w:val="13"/>
              <w:szCs w:val="13"/>
            </w:rPr>
            <w:fldChar w:fldCharType="begin"/>
          </w:r>
          <w:r>
            <w:rPr>
              <w:color w:val="003DA5"/>
              <w:sz w:val="13"/>
              <w:szCs w:val="13"/>
            </w:rPr>
            <w:instrText>PAGE</w:instrText>
          </w:r>
          <w:r>
            <w:rPr>
              <w:color w:val="003DA5"/>
              <w:sz w:val="13"/>
              <w:szCs w:val="13"/>
            </w:rPr>
            <w:fldChar w:fldCharType="separate"/>
          </w:r>
          <w:r w:rsidR="00CD1B20">
            <w:rPr>
              <w:noProof/>
              <w:color w:val="003DA5"/>
              <w:sz w:val="13"/>
              <w:szCs w:val="13"/>
            </w:rPr>
            <w:t>2</w:t>
          </w:r>
          <w:r>
            <w:rPr>
              <w:color w:val="003DA5"/>
              <w:sz w:val="13"/>
              <w:szCs w:val="13"/>
            </w:rPr>
            <w:fldChar w:fldCharType="end"/>
          </w:r>
          <w:r>
            <w:rPr>
              <w:color w:val="003DA5"/>
              <w:sz w:val="13"/>
              <w:szCs w:val="13"/>
            </w:rPr>
            <w:t xml:space="preserve"> / </w:t>
          </w:r>
          <w:r>
            <w:rPr>
              <w:color w:val="003DA5"/>
              <w:sz w:val="13"/>
              <w:szCs w:val="13"/>
            </w:rPr>
            <w:fldChar w:fldCharType="begin"/>
          </w:r>
          <w:r>
            <w:rPr>
              <w:color w:val="003DA5"/>
              <w:sz w:val="13"/>
              <w:szCs w:val="13"/>
            </w:rPr>
            <w:instrText>NUMPAGES</w:instrText>
          </w:r>
          <w:r>
            <w:rPr>
              <w:color w:val="003DA5"/>
              <w:sz w:val="13"/>
              <w:szCs w:val="13"/>
            </w:rPr>
            <w:fldChar w:fldCharType="separate"/>
          </w:r>
          <w:r w:rsidR="00CD1B20">
            <w:rPr>
              <w:noProof/>
              <w:color w:val="003DA5"/>
              <w:sz w:val="13"/>
              <w:szCs w:val="13"/>
            </w:rPr>
            <w:t>3</w:t>
          </w:r>
          <w:r>
            <w:rPr>
              <w:color w:val="003DA5"/>
              <w:sz w:val="13"/>
              <w:szCs w:val="13"/>
            </w:rPr>
            <w:fldChar w:fldCharType="end"/>
          </w:r>
        </w:p>
      </w:tc>
    </w:tr>
  </w:tbl>
  <w:p w14:paraId="60ADDE38" w14:textId="77777777" w:rsidR="002F117C" w:rsidRDefault="002F117C">
    <w:pPr>
      <w:pBdr>
        <w:top w:val="nil"/>
        <w:left w:val="nil"/>
        <w:bottom w:val="nil"/>
        <w:right w:val="nil"/>
        <w:between w:val="nil"/>
      </w:pBdr>
      <w:spacing w:line="240" w:lineRule="auto"/>
      <w:rPr>
        <w:color w:val="626366"/>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711D5" w14:textId="77777777" w:rsidR="002F117C" w:rsidRDefault="002F117C">
    <w:pPr>
      <w:widowControl w:val="0"/>
      <w:pBdr>
        <w:top w:val="nil"/>
        <w:left w:val="nil"/>
        <w:bottom w:val="nil"/>
        <w:right w:val="nil"/>
        <w:between w:val="nil"/>
      </w:pBdr>
      <w:rPr>
        <w:b/>
        <w:smallCaps/>
        <w:color w:val="003DA5"/>
      </w:rPr>
    </w:pPr>
  </w:p>
  <w:tbl>
    <w:tblPr>
      <w:tblStyle w:val="a0"/>
      <w:tblW w:w="10206" w:type="dxa"/>
      <w:tblInd w:w="85" w:type="dxa"/>
      <w:tblBorders>
        <w:top w:val="nil"/>
        <w:left w:val="nil"/>
        <w:bottom w:val="nil"/>
        <w:right w:val="nil"/>
        <w:insideH w:val="nil"/>
        <w:insideV w:val="nil"/>
      </w:tblBorders>
      <w:tblLayout w:type="fixed"/>
      <w:tblLook w:val="0400" w:firstRow="0" w:lastRow="0" w:firstColumn="0" w:lastColumn="0" w:noHBand="0" w:noVBand="1"/>
    </w:tblPr>
    <w:tblGrid>
      <w:gridCol w:w="4374"/>
      <w:gridCol w:w="5832"/>
    </w:tblGrid>
    <w:tr w:rsidR="002F117C" w14:paraId="1E849A5C" w14:textId="77777777">
      <w:tc>
        <w:tcPr>
          <w:tcW w:w="4374" w:type="dxa"/>
        </w:tcPr>
        <w:p w14:paraId="4753CC8C" w14:textId="77777777" w:rsidR="002F117C" w:rsidRDefault="00B66A89">
          <w:pPr>
            <w:spacing w:before="60" w:line="240" w:lineRule="auto"/>
          </w:pPr>
          <w:r>
            <w:rPr>
              <w:noProof/>
            </w:rPr>
            <w:drawing>
              <wp:inline distT="0" distB="0" distL="0" distR="0" wp14:anchorId="0DD8DDF3" wp14:editId="53C77E0E">
                <wp:extent cx="1044000" cy="19265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44000" cy="192650"/>
                        </a:xfrm>
                        <a:prstGeom prst="rect">
                          <a:avLst/>
                        </a:prstGeom>
                        <a:ln/>
                      </pic:spPr>
                    </pic:pic>
                  </a:graphicData>
                </a:graphic>
              </wp:inline>
            </w:drawing>
          </w:r>
        </w:p>
        <w:p w14:paraId="74DAF903" w14:textId="387C9528" w:rsidR="002F117C" w:rsidRDefault="00AC2100">
          <w:pPr>
            <w:tabs>
              <w:tab w:val="right" w:pos="9923"/>
            </w:tabs>
            <w:spacing w:before="60" w:line="240" w:lineRule="auto"/>
            <w:rPr>
              <w:color w:val="007DC3"/>
              <w:sz w:val="27"/>
              <w:szCs w:val="27"/>
            </w:rPr>
          </w:pPr>
          <w:r>
            <w:rPr>
              <w:color w:val="DC1C2E"/>
              <w:sz w:val="27"/>
              <w:szCs w:val="27"/>
            </w:rPr>
            <w:t>Italia</w:t>
          </w:r>
        </w:p>
      </w:tc>
      <w:tc>
        <w:tcPr>
          <w:tcW w:w="5832" w:type="dxa"/>
          <w:vAlign w:val="bottom"/>
        </w:tcPr>
        <w:p w14:paraId="0F8FE659" w14:textId="77777777" w:rsidR="002F117C" w:rsidRDefault="00B66A89">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r>
            <w:rPr>
              <w:color w:val="003DA5"/>
              <w:sz w:val="13"/>
              <w:szCs w:val="13"/>
            </w:rPr>
            <w:fldChar w:fldCharType="begin"/>
          </w:r>
          <w:r>
            <w:rPr>
              <w:color w:val="003DA5"/>
              <w:sz w:val="13"/>
              <w:szCs w:val="13"/>
            </w:rPr>
            <w:instrText>PAGE</w:instrText>
          </w:r>
          <w:r>
            <w:rPr>
              <w:color w:val="003DA5"/>
              <w:sz w:val="13"/>
              <w:szCs w:val="13"/>
            </w:rPr>
            <w:fldChar w:fldCharType="separate"/>
          </w:r>
          <w:r w:rsidR="00CD1B20">
            <w:rPr>
              <w:noProof/>
              <w:color w:val="003DA5"/>
              <w:sz w:val="13"/>
              <w:szCs w:val="13"/>
            </w:rPr>
            <w:t>1</w:t>
          </w:r>
          <w:r>
            <w:rPr>
              <w:color w:val="003DA5"/>
              <w:sz w:val="13"/>
              <w:szCs w:val="13"/>
            </w:rPr>
            <w:fldChar w:fldCharType="end"/>
          </w:r>
          <w:r>
            <w:rPr>
              <w:color w:val="003DA5"/>
              <w:sz w:val="13"/>
              <w:szCs w:val="13"/>
            </w:rPr>
            <w:t xml:space="preserve"> / </w:t>
          </w:r>
          <w:r>
            <w:rPr>
              <w:color w:val="003DA5"/>
              <w:sz w:val="13"/>
              <w:szCs w:val="13"/>
            </w:rPr>
            <w:fldChar w:fldCharType="begin"/>
          </w:r>
          <w:r>
            <w:rPr>
              <w:color w:val="003DA5"/>
              <w:sz w:val="13"/>
              <w:szCs w:val="13"/>
            </w:rPr>
            <w:instrText>NUMPAGES</w:instrText>
          </w:r>
          <w:r>
            <w:rPr>
              <w:color w:val="003DA5"/>
              <w:sz w:val="13"/>
              <w:szCs w:val="13"/>
            </w:rPr>
            <w:fldChar w:fldCharType="separate"/>
          </w:r>
          <w:r w:rsidR="00CD1B20">
            <w:rPr>
              <w:noProof/>
              <w:color w:val="003DA5"/>
              <w:sz w:val="13"/>
              <w:szCs w:val="13"/>
            </w:rPr>
            <w:t>2</w:t>
          </w:r>
          <w:r>
            <w:rPr>
              <w:color w:val="003DA5"/>
              <w:sz w:val="13"/>
              <w:szCs w:val="13"/>
            </w:rPr>
            <w:fldChar w:fldCharType="end"/>
          </w:r>
        </w:p>
      </w:tc>
    </w:tr>
  </w:tbl>
  <w:p w14:paraId="60226D79" w14:textId="77777777" w:rsidR="002F117C" w:rsidRDefault="002F117C">
    <w:pPr>
      <w:pBdr>
        <w:top w:val="nil"/>
        <w:left w:val="nil"/>
        <w:bottom w:val="nil"/>
        <w:right w:val="nil"/>
        <w:between w:val="nil"/>
      </w:pBdr>
      <w:spacing w:line="240" w:lineRule="auto"/>
      <w:rPr>
        <w:color w:val="626366"/>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56D15" w14:textId="77777777" w:rsidR="0047005C" w:rsidRDefault="0047005C">
      <w:pPr>
        <w:spacing w:line="240" w:lineRule="auto"/>
      </w:pPr>
      <w:r>
        <w:separator/>
      </w:r>
    </w:p>
  </w:footnote>
  <w:footnote w:type="continuationSeparator" w:id="0">
    <w:p w14:paraId="08CDEDCC" w14:textId="77777777" w:rsidR="0047005C" w:rsidRDefault="00470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106B4" w14:textId="77777777" w:rsidR="00275264" w:rsidRDefault="0027526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3B230" w14:textId="77777777" w:rsidR="00A45EF2" w:rsidRDefault="00A45EF2" w:rsidP="009B3A8A">
    <w:pPr>
      <w:pBdr>
        <w:top w:val="nil"/>
        <w:left w:val="nil"/>
        <w:bottom w:val="nil"/>
        <w:right w:val="nil"/>
        <w:between w:val="nil"/>
      </w:pBdr>
      <w:spacing w:line="204" w:lineRule="auto"/>
      <w:ind w:right="1418"/>
      <w:rPr>
        <w:b/>
        <w:color w:val="003DA5"/>
        <w:sz w:val="40"/>
        <w:szCs w:val="40"/>
        <w:lang w:val="it-IT"/>
      </w:rPr>
    </w:pPr>
  </w:p>
  <w:p w14:paraId="58CB0BFD" w14:textId="77777777" w:rsidR="00A45EF2" w:rsidRDefault="00A45EF2" w:rsidP="009B3A8A">
    <w:pPr>
      <w:pBdr>
        <w:top w:val="nil"/>
        <w:left w:val="nil"/>
        <w:bottom w:val="nil"/>
        <w:right w:val="nil"/>
        <w:between w:val="nil"/>
      </w:pBdr>
      <w:spacing w:line="204" w:lineRule="auto"/>
      <w:ind w:right="1418"/>
      <w:rPr>
        <w:b/>
        <w:color w:val="003DA5"/>
        <w:sz w:val="40"/>
        <w:szCs w:val="40"/>
        <w:lang w:val="it-IT"/>
      </w:rPr>
    </w:pPr>
  </w:p>
  <w:p w14:paraId="5ABD9E69" w14:textId="77777777" w:rsidR="00A45EF2" w:rsidRDefault="00A45EF2" w:rsidP="009B3A8A">
    <w:pPr>
      <w:pBdr>
        <w:top w:val="nil"/>
        <w:left w:val="nil"/>
        <w:bottom w:val="nil"/>
        <w:right w:val="nil"/>
        <w:between w:val="nil"/>
      </w:pBdr>
      <w:spacing w:line="204" w:lineRule="auto"/>
      <w:ind w:right="1418"/>
      <w:rPr>
        <w:b/>
        <w:color w:val="003DA5"/>
        <w:sz w:val="40"/>
        <w:szCs w:val="40"/>
        <w:lang w:val="it-IT"/>
      </w:rPr>
    </w:pPr>
  </w:p>
  <w:p w14:paraId="498EF941" w14:textId="3773038E" w:rsidR="009B3A8A" w:rsidRPr="00327491" w:rsidRDefault="00B66A89" w:rsidP="009B3A8A">
    <w:pPr>
      <w:pBdr>
        <w:top w:val="nil"/>
        <w:left w:val="nil"/>
        <w:bottom w:val="nil"/>
        <w:right w:val="nil"/>
        <w:between w:val="nil"/>
      </w:pBdr>
      <w:spacing w:line="204" w:lineRule="auto"/>
      <w:ind w:right="1418"/>
      <w:rPr>
        <w:b/>
        <w:color w:val="003DA5"/>
        <w:sz w:val="40"/>
        <w:szCs w:val="40"/>
        <w:lang w:val="it-IT"/>
      </w:rPr>
    </w:pPr>
    <w:r>
      <w:rPr>
        <w:b/>
        <w:smallCaps/>
        <w:noProof/>
        <w:color w:val="003DA5"/>
      </w:rPr>
      <w:drawing>
        <wp:anchor distT="0" distB="0" distL="0" distR="0" simplePos="0" relativeHeight="251658240" behindDoc="1" locked="0" layoutInCell="1" hidden="0" allowOverlap="1" wp14:anchorId="0E65223E" wp14:editId="58DF6676">
          <wp:simplePos x="0" y="0"/>
          <wp:positionH relativeFrom="page">
            <wp:posOffset>5832475</wp:posOffset>
          </wp:positionH>
          <wp:positionV relativeFrom="page">
            <wp:posOffset>334645</wp:posOffset>
          </wp:positionV>
          <wp:extent cx="1270800" cy="161280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70800" cy="1612800"/>
                  </a:xfrm>
                  <a:prstGeom prst="rect">
                    <a:avLst/>
                  </a:prstGeom>
                  <a:ln/>
                </pic:spPr>
              </pic:pic>
            </a:graphicData>
          </a:graphic>
        </wp:anchor>
      </w:drawing>
    </w:r>
    <w:r w:rsidR="009B3A8A" w:rsidRPr="00327491">
      <w:rPr>
        <w:b/>
        <w:color w:val="003DA5"/>
        <w:sz w:val="40"/>
        <w:szCs w:val="40"/>
        <w:lang w:val="it-IT"/>
      </w:rPr>
      <w:t xml:space="preserve">Comunicato </w:t>
    </w:r>
  </w:p>
  <w:p w14:paraId="2ADAABA9" w14:textId="33A904E8" w:rsidR="002F117C" w:rsidRPr="00A45EF2" w:rsidRDefault="009B3A8A" w:rsidP="00A45EF2">
    <w:pPr>
      <w:pBdr>
        <w:top w:val="nil"/>
        <w:left w:val="nil"/>
        <w:bottom w:val="nil"/>
        <w:right w:val="nil"/>
        <w:between w:val="nil"/>
      </w:pBdr>
      <w:spacing w:after="680" w:line="204" w:lineRule="auto"/>
      <w:ind w:right="1418"/>
      <w:rPr>
        <w:b/>
        <w:smallCaps/>
        <w:color w:val="003DA5"/>
        <w:highlight w:val="yellow"/>
      </w:rPr>
    </w:pPr>
    <w:r w:rsidRPr="00327491">
      <w:rPr>
        <w:b/>
        <w:color w:val="DC1C2E"/>
        <w:sz w:val="40"/>
        <w:szCs w:val="40"/>
        <w:lang w:val="it-IT"/>
      </w:rPr>
      <w:t>Stam</w:t>
    </w:r>
    <w:r>
      <w:rPr>
        <w:b/>
        <w:color w:val="DC1C2E"/>
        <w:sz w:val="40"/>
        <w:szCs w:val="40"/>
        <w:lang w:val="it-IT"/>
      </w:rPr>
      <w:t>pa</w:t>
    </w:r>
  </w:p>
  <w:p w14:paraId="317EE13D" w14:textId="77777777" w:rsidR="00546768" w:rsidRDefault="0054676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9D505" w14:textId="79E3D476" w:rsidR="002F117C" w:rsidRPr="00CD32C5" w:rsidRDefault="00B66A89">
    <w:pPr>
      <w:pBdr>
        <w:top w:val="nil"/>
        <w:left w:val="nil"/>
        <w:bottom w:val="nil"/>
        <w:right w:val="nil"/>
        <w:between w:val="nil"/>
      </w:pBdr>
      <w:tabs>
        <w:tab w:val="center" w:pos="4536"/>
        <w:tab w:val="right" w:pos="9356"/>
      </w:tabs>
      <w:rPr>
        <w:b/>
        <w:smallCaps/>
        <w:color w:val="003DA5"/>
        <w:lang w:val="it-IT"/>
      </w:rPr>
    </w:pPr>
    <w:r w:rsidRPr="005C4361">
      <w:rPr>
        <w:b/>
        <w:smallCaps/>
        <w:noProof/>
        <w:color w:val="003DA5"/>
      </w:rPr>
      <w:drawing>
        <wp:anchor distT="0" distB="0" distL="0" distR="0" simplePos="0" relativeHeight="251659264" behindDoc="1" locked="0" layoutInCell="1" hidden="0" allowOverlap="1" wp14:anchorId="13D26ABD" wp14:editId="0A5584EB">
          <wp:simplePos x="0" y="0"/>
          <wp:positionH relativeFrom="page">
            <wp:posOffset>5832475</wp:posOffset>
          </wp:positionH>
          <wp:positionV relativeFrom="page">
            <wp:posOffset>334645</wp:posOffset>
          </wp:positionV>
          <wp:extent cx="1270800" cy="161280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70800" cy="1612800"/>
                  </a:xfrm>
                  <a:prstGeom prst="rect">
                    <a:avLst/>
                  </a:prstGeom>
                  <a:ln/>
                </pic:spPr>
              </pic:pic>
            </a:graphicData>
          </a:graphic>
        </wp:anchor>
      </w:drawing>
    </w:r>
    <w:r w:rsidR="005C4361" w:rsidRPr="00CD32C5">
      <w:rPr>
        <w:b/>
        <w:smallCaps/>
        <w:color w:val="003DA5"/>
        <w:lang w:val="it-IT"/>
      </w:rPr>
      <w:t>Milano</w:t>
    </w:r>
    <w:r w:rsidRPr="00CD32C5">
      <w:rPr>
        <w:b/>
        <w:smallCaps/>
        <w:color w:val="003DA5"/>
        <w:lang w:val="it-IT"/>
      </w:rPr>
      <w:t xml:space="preserve">, </w:t>
    </w:r>
    <w:r w:rsidR="00275264">
      <w:rPr>
        <w:b/>
        <w:smallCaps/>
        <w:color w:val="003DA5"/>
        <w:lang w:val="it-IT"/>
      </w:rPr>
      <w:t>26</w:t>
    </w:r>
    <w:bookmarkStart w:id="0" w:name="_GoBack"/>
    <w:bookmarkEnd w:id="0"/>
    <w:r w:rsidR="00C105F5" w:rsidRPr="00CD32C5">
      <w:rPr>
        <w:b/>
        <w:smallCaps/>
        <w:color w:val="003DA5"/>
        <w:lang w:val="it-IT"/>
      </w:rPr>
      <w:t xml:space="preserve"> </w:t>
    </w:r>
    <w:r w:rsidR="004D2E48" w:rsidRPr="00CD32C5">
      <w:rPr>
        <w:b/>
        <w:smallCaps/>
        <w:color w:val="003DA5"/>
        <w:lang w:val="it-IT"/>
      </w:rPr>
      <w:t>gennaio 2023</w:t>
    </w:r>
  </w:p>
  <w:p w14:paraId="38B10E62" w14:textId="7B8188F5" w:rsidR="009B3A8A" w:rsidRPr="00CD32C5" w:rsidRDefault="009B3A8A">
    <w:pPr>
      <w:pBdr>
        <w:top w:val="nil"/>
        <w:left w:val="nil"/>
        <w:bottom w:val="nil"/>
        <w:right w:val="nil"/>
        <w:between w:val="nil"/>
      </w:pBdr>
      <w:tabs>
        <w:tab w:val="center" w:pos="4536"/>
        <w:tab w:val="right" w:pos="9356"/>
      </w:tabs>
      <w:rPr>
        <w:b/>
        <w:smallCaps/>
        <w:color w:val="003DA5"/>
        <w:lang w:val="it-IT"/>
      </w:rPr>
    </w:pPr>
  </w:p>
  <w:p w14:paraId="33702A86" w14:textId="711C128B" w:rsidR="009B3A8A" w:rsidRPr="00CD32C5" w:rsidRDefault="009B3A8A">
    <w:pPr>
      <w:pBdr>
        <w:top w:val="nil"/>
        <w:left w:val="nil"/>
        <w:bottom w:val="nil"/>
        <w:right w:val="nil"/>
        <w:between w:val="nil"/>
      </w:pBdr>
      <w:tabs>
        <w:tab w:val="center" w:pos="4536"/>
        <w:tab w:val="right" w:pos="9356"/>
      </w:tabs>
      <w:rPr>
        <w:b/>
        <w:smallCaps/>
        <w:color w:val="003DA5"/>
        <w:lang w:val="it-IT"/>
      </w:rPr>
    </w:pPr>
  </w:p>
  <w:p w14:paraId="5D0063B8" w14:textId="127C0276" w:rsidR="009B3A8A" w:rsidRPr="00CD32C5" w:rsidRDefault="009B3A8A">
    <w:pPr>
      <w:pBdr>
        <w:top w:val="nil"/>
        <w:left w:val="nil"/>
        <w:bottom w:val="nil"/>
        <w:right w:val="nil"/>
        <w:between w:val="nil"/>
      </w:pBdr>
      <w:tabs>
        <w:tab w:val="center" w:pos="4536"/>
        <w:tab w:val="right" w:pos="9356"/>
      </w:tabs>
      <w:rPr>
        <w:b/>
        <w:smallCaps/>
        <w:color w:val="003DA5"/>
        <w:lang w:val="it-IT"/>
      </w:rPr>
    </w:pPr>
  </w:p>
  <w:p w14:paraId="3A771959" w14:textId="061432D1" w:rsidR="009B3A8A" w:rsidRPr="00CD32C5" w:rsidRDefault="009B3A8A">
    <w:pPr>
      <w:pBdr>
        <w:top w:val="nil"/>
        <w:left w:val="nil"/>
        <w:bottom w:val="nil"/>
        <w:right w:val="nil"/>
        <w:between w:val="nil"/>
      </w:pBdr>
      <w:tabs>
        <w:tab w:val="center" w:pos="4536"/>
        <w:tab w:val="right" w:pos="9356"/>
      </w:tabs>
      <w:rPr>
        <w:b/>
        <w:smallCaps/>
        <w:color w:val="003DA5"/>
        <w:lang w:val="it-IT"/>
      </w:rPr>
    </w:pPr>
  </w:p>
  <w:p w14:paraId="319E64FF" w14:textId="77777777" w:rsidR="009B3A8A" w:rsidRPr="00327491" w:rsidRDefault="009B3A8A" w:rsidP="009B3A8A">
    <w:pPr>
      <w:pBdr>
        <w:top w:val="nil"/>
        <w:left w:val="nil"/>
        <w:bottom w:val="nil"/>
        <w:right w:val="nil"/>
        <w:between w:val="nil"/>
      </w:pBdr>
      <w:spacing w:line="204" w:lineRule="auto"/>
      <w:ind w:right="1418"/>
      <w:rPr>
        <w:b/>
        <w:color w:val="003DA5"/>
        <w:sz w:val="40"/>
        <w:szCs w:val="40"/>
        <w:lang w:val="it-IT"/>
      </w:rPr>
    </w:pPr>
    <w:r w:rsidRPr="00327491">
      <w:rPr>
        <w:b/>
        <w:color w:val="003DA5"/>
        <w:sz w:val="40"/>
        <w:szCs w:val="40"/>
        <w:lang w:val="it-IT"/>
      </w:rPr>
      <w:t xml:space="preserve">Comunicato </w:t>
    </w:r>
  </w:p>
  <w:p w14:paraId="31DE20D5" w14:textId="2A9E35A0" w:rsidR="009B3A8A" w:rsidRPr="00CD32C5" w:rsidRDefault="009B3A8A" w:rsidP="009B3A8A">
    <w:pPr>
      <w:pBdr>
        <w:top w:val="nil"/>
        <w:left w:val="nil"/>
        <w:bottom w:val="nil"/>
        <w:right w:val="nil"/>
        <w:between w:val="nil"/>
      </w:pBdr>
      <w:spacing w:after="680" w:line="204" w:lineRule="auto"/>
      <w:ind w:right="1418"/>
      <w:rPr>
        <w:b/>
        <w:smallCaps/>
        <w:color w:val="003DA5"/>
        <w:highlight w:val="yellow"/>
        <w:lang w:val="it-IT"/>
      </w:rPr>
    </w:pPr>
    <w:r w:rsidRPr="00327491">
      <w:rPr>
        <w:b/>
        <w:color w:val="DC1C2E"/>
        <w:sz w:val="40"/>
        <w:szCs w:val="40"/>
        <w:lang w:val="it-IT"/>
      </w:rPr>
      <w:t>Stam</w:t>
    </w:r>
    <w:r>
      <w:rPr>
        <w:b/>
        <w:color w:val="DC1C2E"/>
        <w:sz w:val="40"/>
        <w:szCs w:val="40"/>
        <w:lang w:val="it-IT"/>
      </w:rPr>
      <w:t>pa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17C"/>
    <w:rsid w:val="000143CC"/>
    <w:rsid w:val="0001604F"/>
    <w:rsid w:val="00017714"/>
    <w:rsid w:val="00034668"/>
    <w:rsid w:val="00036FBE"/>
    <w:rsid w:val="000A5DFF"/>
    <w:rsid w:val="000A6FED"/>
    <w:rsid w:val="000C0A2D"/>
    <w:rsid w:val="000C6AC2"/>
    <w:rsid w:val="000C7C94"/>
    <w:rsid w:val="000E4974"/>
    <w:rsid w:val="000F1288"/>
    <w:rsid w:val="00100F88"/>
    <w:rsid w:val="00101B62"/>
    <w:rsid w:val="001077B9"/>
    <w:rsid w:val="0013095F"/>
    <w:rsid w:val="00142448"/>
    <w:rsid w:val="00146BD6"/>
    <w:rsid w:val="001973FB"/>
    <w:rsid w:val="001D2F67"/>
    <w:rsid w:val="002138D1"/>
    <w:rsid w:val="00215884"/>
    <w:rsid w:val="0023689E"/>
    <w:rsid w:val="00250C9A"/>
    <w:rsid w:val="00250CCE"/>
    <w:rsid w:val="00255B28"/>
    <w:rsid w:val="00275264"/>
    <w:rsid w:val="002D1E71"/>
    <w:rsid w:val="002F117C"/>
    <w:rsid w:val="002F5B5E"/>
    <w:rsid w:val="00320137"/>
    <w:rsid w:val="00327491"/>
    <w:rsid w:val="00360D01"/>
    <w:rsid w:val="00363520"/>
    <w:rsid w:val="0037763E"/>
    <w:rsid w:val="003B6575"/>
    <w:rsid w:val="003B684D"/>
    <w:rsid w:val="003C2299"/>
    <w:rsid w:val="003F42E8"/>
    <w:rsid w:val="003F6414"/>
    <w:rsid w:val="0040062F"/>
    <w:rsid w:val="00446D88"/>
    <w:rsid w:val="0047005C"/>
    <w:rsid w:val="004708E0"/>
    <w:rsid w:val="004739D5"/>
    <w:rsid w:val="00485C2E"/>
    <w:rsid w:val="004971DF"/>
    <w:rsid w:val="00497C73"/>
    <w:rsid w:val="004A53FB"/>
    <w:rsid w:val="004B4A95"/>
    <w:rsid w:val="004D1082"/>
    <w:rsid w:val="004D2E48"/>
    <w:rsid w:val="004E11C3"/>
    <w:rsid w:val="004E3F33"/>
    <w:rsid w:val="00511FE8"/>
    <w:rsid w:val="005350B3"/>
    <w:rsid w:val="005445B2"/>
    <w:rsid w:val="00544618"/>
    <w:rsid w:val="00545A29"/>
    <w:rsid w:val="00546768"/>
    <w:rsid w:val="00567423"/>
    <w:rsid w:val="00574F89"/>
    <w:rsid w:val="005A0261"/>
    <w:rsid w:val="005C4361"/>
    <w:rsid w:val="0060131D"/>
    <w:rsid w:val="00606AD0"/>
    <w:rsid w:val="0061267F"/>
    <w:rsid w:val="00626ADA"/>
    <w:rsid w:val="00675E8F"/>
    <w:rsid w:val="00690B13"/>
    <w:rsid w:val="006B2B60"/>
    <w:rsid w:val="006C5640"/>
    <w:rsid w:val="006F576A"/>
    <w:rsid w:val="006F5A92"/>
    <w:rsid w:val="0071716E"/>
    <w:rsid w:val="00747E63"/>
    <w:rsid w:val="00753F42"/>
    <w:rsid w:val="00760F61"/>
    <w:rsid w:val="00762A93"/>
    <w:rsid w:val="0076722F"/>
    <w:rsid w:val="00797EBF"/>
    <w:rsid w:val="007D171F"/>
    <w:rsid w:val="008123A4"/>
    <w:rsid w:val="00845F0E"/>
    <w:rsid w:val="00855BC2"/>
    <w:rsid w:val="00876A94"/>
    <w:rsid w:val="008C3789"/>
    <w:rsid w:val="008C7085"/>
    <w:rsid w:val="008D290C"/>
    <w:rsid w:val="008D4910"/>
    <w:rsid w:val="008F096D"/>
    <w:rsid w:val="00936439"/>
    <w:rsid w:val="00937BE2"/>
    <w:rsid w:val="00942744"/>
    <w:rsid w:val="0094627F"/>
    <w:rsid w:val="00954BD2"/>
    <w:rsid w:val="009569D2"/>
    <w:rsid w:val="009B3A8A"/>
    <w:rsid w:val="009B62B0"/>
    <w:rsid w:val="009F35FC"/>
    <w:rsid w:val="00A27A44"/>
    <w:rsid w:val="00A413F7"/>
    <w:rsid w:val="00A4326A"/>
    <w:rsid w:val="00A45EF2"/>
    <w:rsid w:val="00AA1331"/>
    <w:rsid w:val="00AB47B5"/>
    <w:rsid w:val="00AC2100"/>
    <w:rsid w:val="00AE3089"/>
    <w:rsid w:val="00AF34F3"/>
    <w:rsid w:val="00B00E51"/>
    <w:rsid w:val="00B124FA"/>
    <w:rsid w:val="00B21457"/>
    <w:rsid w:val="00B24828"/>
    <w:rsid w:val="00B66A89"/>
    <w:rsid w:val="00B962FA"/>
    <w:rsid w:val="00BA226B"/>
    <w:rsid w:val="00BA48BC"/>
    <w:rsid w:val="00BA61FF"/>
    <w:rsid w:val="00C0242F"/>
    <w:rsid w:val="00C04CB8"/>
    <w:rsid w:val="00C105F5"/>
    <w:rsid w:val="00C212C7"/>
    <w:rsid w:val="00C23CD6"/>
    <w:rsid w:val="00C34F34"/>
    <w:rsid w:val="00C60122"/>
    <w:rsid w:val="00C61808"/>
    <w:rsid w:val="00C774A0"/>
    <w:rsid w:val="00CD1B20"/>
    <w:rsid w:val="00CD32C5"/>
    <w:rsid w:val="00CD4386"/>
    <w:rsid w:val="00D02162"/>
    <w:rsid w:val="00D078C9"/>
    <w:rsid w:val="00D41FE2"/>
    <w:rsid w:val="00DA2956"/>
    <w:rsid w:val="00DA742D"/>
    <w:rsid w:val="00DF6CD5"/>
    <w:rsid w:val="00E1405A"/>
    <w:rsid w:val="00E23BE9"/>
    <w:rsid w:val="00E7362D"/>
    <w:rsid w:val="00E76A5E"/>
    <w:rsid w:val="00E770A9"/>
    <w:rsid w:val="00EB50B8"/>
    <w:rsid w:val="00ED7D99"/>
    <w:rsid w:val="00F02867"/>
    <w:rsid w:val="00F2057C"/>
    <w:rsid w:val="00F513EB"/>
    <w:rsid w:val="00F52EBC"/>
    <w:rsid w:val="00F64297"/>
    <w:rsid w:val="00F66202"/>
    <w:rsid w:val="00F7182C"/>
    <w:rsid w:val="00F802FE"/>
    <w:rsid w:val="00FA2A8C"/>
    <w:rsid w:val="00FD12A8"/>
    <w:rsid w:val="00FD4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A5B68"/>
  <w15:docId w15:val="{BF2D39D3-885D-4977-8E36-6DC487C6F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spacing w:before="280"/>
      <w:outlineLvl w:val="0"/>
    </w:pPr>
    <w:rPr>
      <w:b/>
      <w:color w:val="004A99"/>
      <w:sz w:val="22"/>
      <w:szCs w:val="22"/>
    </w:rPr>
  </w:style>
  <w:style w:type="paragraph" w:styleId="Titolo2">
    <w:name w:val="heading 2"/>
    <w:basedOn w:val="Normale"/>
    <w:next w:val="Normale"/>
    <w:uiPriority w:val="9"/>
    <w:semiHidden/>
    <w:unhideWhenUsed/>
    <w:qFormat/>
    <w:pPr>
      <w:keepNext/>
      <w:keepLines/>
      <w:spacing w:before="240"/>
      <w:outlineLvl w:val="1"/>
    </w:pPr>
    <w:rPr>
      <w:b/>
      <w:color w:val="004A99"/>
    </w:rPr>
  </w:style>
  <w:style w:type="paragraph" w:styleId="Titolo3">
    <w:name w:val="heading 3"/>
    <w:basedOn w:val="Normale"/>
    <w:next w:val="Normale"/>
    <w:uiPriority w:val="9"/>
    <w:semiHidden/>
    <w:unhideWhenUsed/>
    <w:qFormat/>
    <w:pPr>
      <w:keepNext/>
      <w:keepLines/>
      <w:spacing w:before="240"/>
      <w:outlineLvl w:val="2"/>
    </w:pPr>
    <w:rPr>
      <w:b/>
      <w:color w:val="007DC3"/>
    </w:rPr>
  </w:style>
  <w:style w:type="paragraph" w:styleId="Titolo4">
    <w:name w:val="heading 4"/>
    <w:basedOn w:val="Normale"/>
    <w:next w:val="Normale"/>
    <w:uiPriority w:val="9"/>
    <w:semiHidden/>
    <w:unhideWhenUsed/>
    <w:qFormat/>
    <w:pPr>
      <w:keepNext/>
      <w:keepLines/>
      <w:spacing w:before="240" w:after="120"/>
      <w:ind w:left="864" w:hanging="864"/>
      <w:outlineLvl w:val="3"/>
    </w:pPr>
    <w:rPr>
      <w:b/>
      <w:color w:val="404041"/>
    </w:rPr>
  </w:style>
  <w:style w:type="paragraph" w:styleId="Titolo5">
    <w:name w:val="heading 5"/>
    <w:basedOn w:val="Normale"/>
    <w:next w:val="Normale"/>
    <w:uiPriority w:val="9"/>
    <w:semiHidden/>
    <w:unhideWhenUsed/>
    <w:qFormat/>
    <w:pPr>
      <w:keepNext/>
      <w:keepLines/>
      <w:spacing w:before="200"/>
      <w:ind w:left="1008" w:hanging="1008"/>
      <w:outlineLvl w:val="4"/>
    </w:pPr>
    <w:rPr>
      <w:color w:val="6D0D16"/>
    </w:rPr>
  </w:style>
  <w:style w:type="paragraph" w:styleId="Titolo6">
    <w:name w:val="heading 6"/>
    <w:basedOn w:val="Normale"/>
    <w:next w:val="Normale"/>
    <w:uiPriority w:val="9"/>
    <w:semiHidden/>
    <w:unhideWhenUsed/>
    <w:qFormat/>
    <w:pPr>
      <w:keepNext/>
      <w:keepLines/>
      <w:spacing w:before="200"/>
      <w:ind w:left="1152" w:hanging="1152"/>
      <w:outlineLvl w:val="5"/>
    </w:pPr>
    <w:rPr>
      <w:i/>
      <w:color w:val="6D0D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spacing w:before="1560" w:line="240" w:lineRule="auto"/>
    </w:pPr>
    <w:rPr>
      <w:b/>
      <w:color w:val="DB0812"/>
      <w:sz w:val="74"/>
      <w:szCs w:val="74"/>
    </w:rPr>
  </w:style>
  <w:style w:type="paragraph" w:styleId="Sottotitolo">
    <w:name w:val="Subtitle"/>
    <w:basedOn w:val="Normale"/>
    <w:next w:val="Normale"/>
    <w:uiPriority w:val="11"/>
    <w:qFormat/>
    <w:pPr>
      <w:spacing w:line="240" w:lineRule="auto"/>
    </w:pPr>
    <w:rPr>
      <w:b/>
      <w:color w:val="004A99"/>
      <w:sz w:val="74"/>
      <w:szCs w:val="74"/>
    </w:rPr>
  </w:style>
  <w:style w:type="table" w:customStyle="1" w:styleId="a">
    <w:basedOn w:val="Tabellanormale"/>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ellanormale"/>
    <w:tblPr>
      <w:tblStyleRowBandSize w:val="1"/>
      <w:tblStyleColBandSize w:val="1"/>
      <w:tblCellMar>
        <w:top w:w="85" w:type="dxa"/>
        <w:left w:w="0" w:type="dxa"/>
        <w:bottom w:w="57" w:type="dxa"/>
        <w:right w:w="0" w:type="dxa"/>
      </w:tblCellMar>
    </w:tblPr>
  </w:style>
  <w:style w:type="table" w:customStyle="1" w:styleId="a1">
    <w:basedOn w:val="Tabellanormale"/>
    <w:tblPr>
      <w:tblStyleRowBandSize w:val="1"/>
      <w:tblStyleColBandSize w:val="1"/>
      <w:tblCellMar>
        <w:top w:w="85" w:type="dxa"/>
        <w:left w:w="0" w:type="dxa"/>
        <w:bottom w:w="57" w:type="dxa"/>
        <w:right w:w="0" w:type="dxa"/>
      </w:tblCellMar>
    </w:tblPr>
  </w:style>
  <w:style w:type="table" w:styleId="Grigliatabella">
    <w:name w:val="Table Grid"/>
    <w:basedOn w:val="Tabellanormale"/>
    <w:uiPriority w:val="39"/>
    <w:rsid w:val="00CD1B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C436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C4361"/>
  </w:style>
  <w:style w:type="paragraph" w:styleId="Pidipagina">
    <w:name w:val="footer"/>
    <w:basedOn w:val="Normale"/>
    <w:link w:val="PidipaginaCarattere"/>
    <w:uiPriority w:val="99"/>
    <w:unhideWhenUsed/>
    <w:rsid w:val="005C436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C4361"/>
  </w:style>
  <w:style w:type="paragraph" w:styleId="Testofumetto">
    <w:name w:val="Balloon Text"/>
    <w:basedOn w:val="Normale"/>
    <w:link w:val="TestofumettoCarattere"/>
    <w:uiPriority w:val="99"/>
    <w:semiHidden/>
    <w:unhideWhenUsed/>
    <w:rsid w:val="005C436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C4361"/>
    <w:rPr>
      <w:rFonts w:ascii="Segoe UI" w:hAnsi="Segoe UI" w:cs="Segoe UI"/>
      <w:sz w:val="18"/>
      <w:szCs w:val="18"/>
    </w:rPr>
  </w:style>
  <w:style w:type="paragraph" w:styleId="Corpotesto">
    <w:name w:val="Body Text"/>
    <w:basedOn w:val="Normale"/>
    <w:link w:val="CorpotestoCarattere"/>
    <w:uiPriority w:val="1"/>
    <w:qFormat/>
    <w:rsid w:val="00855BC2"/>
    <w:pPr>
      <w:widowControl w:val="0"/>
      <w:autoSpaceDE w:val="0"/>
      <w:autoSpaceDN w:val="0"/>
      <w:spacing w:line="240" w:lineRule="auto"/>
    </w:pPr>
    <w:rPr>
      <w:rFonts w:ascii="Arial MT" w:eastAsia="Arial MT" w:hAnsi="Arial MT" w:cs="Arial MT"/>
    </w:rPr>
  </w:style>
  <w:style w:type="character" w:customStyle="1" w:styleId="CorpotestoCarattere">
    <w:name w:val="Corpo testo Carattere"/>
    <w:basedOn w:val="Carpredefinitoparagrafo"/>
    <w:link w:val="Corpotesto"/>
    <w:uiPriority w:val="1"/>
    <w:rsid w:val="00855BC2"/>
    <w:rPr>
      <w:rFonts w:ascii="Arial MT" w:eastAsia="Arial MT" w:hAnsi="Arial MT" w:cs="Arial MT"/>
    </w:rPr>
  </w:style>
  <w:style w:type="paragraph" w:customStyle="1" w:styleId="TableParagraph">
    <w:name w:val="Table Paragraph"/>
    <w:basedOn w:val="Normale"/>
    <w:uiPriority w:val="1"/>
    <w:qFormat/>
    <w:rsid w:val="00855BC2"/>
    <w:pPr>
      <w:widowControl w:val="0"/>
      <w:autoSpaceDE w:val="0"/>
      <w:autoSpaceDN w:val="0"/>
      <w:spacing w:before="54" w:line="240" w:lineRule="auto"/>
      <w:jc w:val="right"/>
    </w:pPr>
    <w:rPr>
      <w:sz w:val="22"/>
      <w:szCs w:val="22"/>
    </w:rPr>
  </w:style>
  <w:style w:type="paragraph" w:customStyle="1" w:styleId="Default">
    <w:name w:val="Default"/>
    <w:rsid w:val="00855BC2"/>
    <w:pPr>
      <w:autoSpaceDE w:val="0"/>
      <w:autoSpaceDN w:val="0"/>
      <w:adjustRightInd w:val="0"/>
      <w:spacing w:line="240" w:lineRule="auto"/>
    </w:pPr>
    <w:rPr>
      <w:rFonts w:ascii="Calibri" w:eastAsiaTheme="minorHAnsi" w:hAnsi="Calibri" w:cs="Calibri"/>
      <w:color w:val="000000"/>
      <w:sz w:val="24"/>
      <w:szCs w:val="24"/>
      <w:lang w:val="it-IT"/>
    </w:rPr>
  </w:style>
  <w:style w:type="paragraph" w:styleId="Testonormale">
    <w:name w:val="Plain Text"/>
    <w:basedOn w:val="Normale"/>
    <w:link w:val="TestonormaleCarattere"/>
    <w:uiPriority w:val="99"/>
    <w:unhideWhenUsed/>
    <w:rsid w:val="00855BC2"/>
    <w:pPr>
      <w:spacing w:line="240" w:lineRule="auto"/>
    </w:pPr>
    <w:rPr>
      <w:rFonts w:ascii="Calibri" w:eastAsiaTheme="minorHAnsi" w:hAnsi="Calibri" w:cs="Consolas"/>
      <w:sz w:val="22"/>
      <w:szCs w:val="21"/>
      <w:lang w:val="it-IT"/>
    </w:rPr>
  </w:style>
  <w:style w:type="character" w:customStyle="1" w:styleId="TestonormaleCarattere">
    <w:name w:val="Testo normale Carattere"/>
    <w:basedOn w:val="Carpredefinitoparagrafo"/>
    <w:link w:val="Testonormale"/>
    <w:uiPriority w:val="99"/>
    <w:rsid w:val="00855BC2"/>
    <w:rPr>
      <w:rFonts w:ascii="Calibri" w:eastAsiaTheme="minorHAnsi" w:hAnsi="Calibri" w:cs="Consolas"/>
      <w:sz w:val="22"/>
      <w:szCs w:val="21"/>
      <w:lang w:val="it-IT"/>
    </w:rPr>
  </w:style>
  <w:style w:type="paragraph" w:styleId="Revisione">
    <w:name w:val="Revision"/>
    <w:hidden/>
    <w:uiPriority w:val="99"/>
    <w:semiHidden/>
    <w:rsid w:val="00AB47B5"/>
    <w:pPr>
      <w:spacing w:line="240" w:lineRule="auto"/>
    </w:pPr>
  </w:style>
  <w:style w:type="character" w:styleId="Collegamentoipertestuale">
    <w:name w:val="Hyperlink"/>
    <w:basedOn w:val="Carpredefinitoparagrafo"/>
    <w:uiPriority w:val="99"/>
    <w:unhideWhenUsed/>
    <w:rsid w:val="004971DF"/>
    <w:rPr>
      <w:color w:val="0000FF" w:themeColor="hyperlink"/>
      <w:u w:val="single"/>
    </w:rPr>
  </w:style>
  <w:style w:type="character" w:styleId="Menzionenonrisolta">
    <w:name w:val="Unresolved Mention"/>
    <w:basedOn w:val="Carpredefinitoparagrafo"/>
    <w:uiPriority w:val="99"/>
    <w:semiHidden/>
    <w:unhideWhenUsed/>
    <w:rsid w:val="00497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741116">
      <w:bodyDiv w:val="1"/>
      <w:marLeft w:val="0"/>
      <w:marRight w:val="0"/>
      <w:marTop w:val="0"/>
      <w:marBottom w:val="0"/>
      <w:divBdr>
        <w:top w:val="none" w:sz="0" w:space="0" w:color="auto"/>
        <w:left w:val="none" w:sz="0" w:space="0" w:color="auto"/>
        <w:bottom w:val="none" w:sz="0" w:space="0" w:color="auto"/>
        <w:right w:val="none" w:sz="0" w:space="0" w:color="auto"/>
      </w:divBdr>
    </w:div>
    <w:div w:id="242103367">
      <w:bodyDiv w:val="1"/>
      <w:marLeft w:val="0"/>
      <w:marRight w:val="0"/>
      <w:marTop w:val="0"/>
      <w:marBottom w:val="0"/>
      <w:divBdr>
        <w:top w:val="none" w:sz="0" w:space="0" w:color="auto"/>
        <w:left w:val="none" w:sz="0" w:space="0" w:color="auto"/>
        <w:bottom w:val="none" w:sz="0" w:space="0" w:color="auto"/>
        <w:right w:val="none" w:sz="0" w:space="0" w:color="auto"/>
      </w:divBdr>
    </w:div>
    <w:div w:id="1234202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valonconsulting.i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emax.it" TargetMode="External"/><Relationship Id="rId12" Type="http://schemas.openxmlformats.org/officeDocument/2006/relationships/hyperlink" Target="mailto:info@pinkommunication.i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dropbox.com/s/vfz9330anp6shfu/REAL%20ESTATE%20Data%20Hub%20Q3-2022.pdf?dl=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ser-75022683325.cld.bz/REAL-ESTATE-Data-Hub-Q3-202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24max.it"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F6E78-B7BC-4482-A074-6F8B28A27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Pages>
  <Words>1958</Words>
  <Characters>11167</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 Premoli</cp:lastModifiedBy>
  <cp:revision>84</cp:revision>
  <dcterms:created xsi:type="dcterms:W3CDTF">2023-01-04T10:03:00Z</dcterms:created>
  <dcterms:modified xsi:type="dcterms:W3CDTF">2023-01-26T10:32:00Z</dcterms:modified>
</cp:coreProperties>
</file>