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FFB0F" w14:textId="2E33C7D4" w:rsidR="004D2E48" w:rsidRPr="004321E4" w:rsidRDefault="004321E4" w:rsidP="000C6AC2">
      <w:pPr>
        <w:pBdr>
          <w:top w:val="nil"/>
          <w:left w:val="nil"/>
          <w:bottom w:val="nil"/>
          <w:right w:val="nil"/>
          <w:between w:val="nil"/>
        </w:pBdr>
        <w:jc w:val="both"/>
        <w:rPr>
          <w:b/>
          <w:bCs/>
          <w:color w:val="DC1C2E"/>
          <w:sz w:val="30"/>
          <w:szCs w:val="30"/>
          <w:lang w:val="it-IT"/>
        </w:rPr>
      </w:pPr>
      <w:r w:rsidRPr="004321E4">
        <w:rPr>
          <w:b/>
          <w:bCs/>
          <w:color w:val="DC1C2E"/>
          <w:sz w:val="30"/>
          <w:szCs w:val="30"/>
          <w:lang w:val="it-IT"/>
        </w:rPr>
        <w:t>Immobiliare ricettivo: gli investitori puntano su hotel di lusso e resort</w:t>
      </w:r>
    </w:p>
    <w:p w14:paraId="748829ED" w14:textId="7DA8FF97" w:rsidR="00A45EF2" w:rsidRPr="004321E4" w:rsidRDefault="004321E4" w:rsidP="000C6AC2">
      <w:pPr>
        <w:pBdr>
          <w:top w:val="nil"/>
          <w:left w:val="nil"/>
          <w:bottom w:val="nil"/>
          <w:right w:val="nil"/>
          <w:between w:val="nil"/>
        </w:pBdr>
        <w:jc w:val="both"/>
        <w:rPr>
          <w:b/>
          <w:bCs/>
          <w:i/>
          <w:iCs/>
          <w:color w:val="003DA5"/>
          <w:sz w:val="22"/>
          <w:szCs w:val="22"/>
          <w:lang w:val="it-IT"/>
        </w:rPr>
      </w:pPr>
      <w:r w:rsidRPr="004321E4">
        <w:rPr>
          <w:b/>
          <w:bCs/>
          <w:i/>
          <w:iCs/>
          <w:color w:val="003DA5"/>
          <w:sz w:val="22"/>
          <w:szCs w:val="22"/>
          <w:lang w:val="it-IT"/>
        </w:rPr>
        <w:t>Per il biennio 2022-2024 si prevede una ripresa del trend di crescita</w:t>
      </w:r>
    </w:p>
    <w:p w14:paraId="4F56BB69" w14:textId="77777777" w:rsidR="004D2E48" w:rsidRPr="000830C5" w:rsidRDefault="004D2E48" w:rsidP="004D2E48">
      <w:pPr>
        <w:pBdr>
          <w:top w:val="nil"/>
          <w:left w:val="nil"/>
          <w:bottom w:val="nil"/>
          <w:right w:val="nil"/>
          <w:between w:val="nil"/>
        </w:pBdr>
        <w:jc w:val="both"/>
        <w:rPr>
          <w:highlight w:val="yellow"/>
          <w:lang w:val="it-IT"/>
        </w:rPr>
      </w:pPr>
    </w:p>
    <w:p w14:paraId="4A7C2B3B" w14:textId="5BCD6AFC" w:rsidR="006017CE" w:rsidRPr="00D901E7" w:rsidRDefault="004321E4" w:rsidP="00D901E7">
      <w:pPr>
        <w:jc w:val="both"/>
        <w:rPr>
          <w:lang w:val="it-IT"/>
        </w:rPr>
      </w:pPr>
      <w:r>
        <w:rPr>
          <w:lang w:val="it-IT"/>
        </w:rPr>
        <w:t xml:space="preserve">L’immobiliare </w:t>
      </w:r>
      <w:r w:rsidR="006017CE" w:rsidRPr="004321E4">
        <w:rPr>
          <w:lang w:val="it-IT"/>
        </w:rPr>
        <w:t xml:space="preserve">ricettivo </w:t>
      </w:r>
      <w:r>
        <w:rPr>
          <w:lang w:val="it-IT"/>
        </w:rPr>
        <w:t>in Italia registra un crescente interesse degli investitori per hotel di lusso</w:t>
      </w:r>
      <w:r w:rsidR="006017CE" w:rsidRPr="004321E4">
        <w:rPr>
          <w:lang w:val="it-IT"/>
        </w:rPr>
        <w:t xml:space="preserve"> </w:t>
      </w:r>
      <w:r>
        <w:rPr>
          <w:lang w:val="it-IT"/>
        </w:rPr>
        <w:t>e resort</w:t>
      </w:r>
      <w:r w:rsidR="00AC7FDD">
        <w:rPr>
          <w:lang w:val="it-IT"/>
        </w:rPr>
        <w:t>, con o</w:t>
      </w:r>
      <w:r>
        <w:rPr>
          <w:lang w:val="it-IT"/>
        </w:rPr>
        <w:t xml:space="preserve">perazioni prevalentemente </w:t>
      </w:r>
      <w:r w:rsidRPr="00D901E7">
        <w:rPr>
          <w:lang w:val="it-IT"/>
        </w:rPr>
        <w:t xml:space="preserve">trainate da primari operatori internazionali nel settore della gestione alberghiera. </w:t>
      </w:r>
      <w:r w:rsidR="00E47E25" w:rsidRPr="00D901E7">
        <w:rPr>
          <w:lang w:val="it-IT"/>
        </w:rPr>
        <w:t xml:space="preserve">Questo quanto emerge dai dati elaborati nella </w:t>
      </w:r>
      <w:r w:rsidR="00E47E25" w:rsidRPr="00D901E7">
        <w:rPr>
          <w:b/>
          <w:bCs/>
          <w:lang w:val="it-IT"/>
        </w:rPr>
        <w:t>settima edizione di Real Estate DATA HUB</w:t>
      </w:r>
      <w:r w:rsidR="00E47E25" w:rsidRPr="00D901E7">
        <w:rPr>
          <w:lang w:val="it-IT"/>
        </w:rPr>
        <w:t xml:space="preserve">, </w:t>
      </w:r>
      <w:r w:rsidR="00E47E25" w:rsidRPr="00D901E7">
        <w:rPr>
          <w:b/>
          <w:bCs/>
          <w:lang w:val="it-IT"/>
        </w:rPr>
        <w:t xml:space="preserve">il report realizzato dai Centri Studi di </w:t>
      </w:r>
      <w:hyperlink r:id="rId7" w:history="1">
        <w:r w:rsidR="00E47E25" w:rsidRPr="00D901E7">
          <w:rPr>
            <w:rStyle w:val="Collegamentoipertestuale"/>
            <w:b/>
            <w:bCs/>
            <w:lang w:val="it-IT"/>
          </w:rPr>
          <w:t>RE/MAX Italia</w:t>
        </w:r>
      </w:hyperlink>
      <w:r w:rsidR="00E47E25" w:rsidRPr="00D901E7">
        <w:rPr>
          <w:b/>
          <w:bCs/>
          <w:lang w:val="it-IT"/>
        </w:rPr>
        <w:t xml:space="preserve"> e di Avalon Real Estate e dall’Ufficio Studi di </w:t>
      </w:r>
      <w:hyperlink r:id="rId8" w:history="1">
        <w:r w:rsidR="00E47E25" w:rsidRPr="00D901E7">
          <w:rPr>
            <w:rStyle w:val="Collegamentoipertestuale"/>
            <w:b/>
            <w:bCs/>
            <w:lang w:val="it-IT"/>
          </w:rPr>
          <w:t>24MAX</w:t>
        </w:r>
      </w:hyperlink>
      <w:r w:rsidR="00E47E25" w:rsidRPr="00D901E7">
        <w:rPr>
          <w:lang w:val="it-IT"/>
        </w:rPr>
        <w:t>.</w:t>
      </w:r>
      <w:r>
        <w:rPr>
          <w:lang w:val="it-IT"/>
        </w:rPr>
        <w:t xml:space="preserve"> Complessivamente, i</w:t>
      </w:r>
      <w:r w:rsidR="006017CE" w:rsidRPr="00D901E7">
        <w:rPr>
          <w:lang w:val="it-IT"/>
        </w:rPr>
        <w:t xml:space="preserve">l 2022 vede un volume di investimenti nell’hotellerie di 1,6 </w:t>
      </w:r>
      <w:r w:rsidR="007177C3">
        <w:rPr>
          <w:lang w:val="it-IT"/>
        </w:rPr>
        <w:t>miliardi di euro</w:t>
      </w:r>
      <w:r w:rsidR="006017CE" w:rsidRPr="00D901E7">
        <w:rPr>
          <w:lang w:val="it-IT"/>
        </w:rPr>
        <w:t>, pari a circa il 13% del totale. La crescita registrata nella prima metà dell’anno è stata rallentata da fattori macroeconomici che hanno modificato l’atteggiamento degli investitori, passati</w:t>
      </w:r>
      <w:r>
        <w:rPr>
          <w:lang w:val="it-IT"/>
        </w:rPr>
        <w:t>,</w:t>
      </w:r>
      <w:r w:rsidR="006017CE" w:rsidRPr="00D901E7">
        <w:rPr>
          <w:lang w:val="it-IT"/>
        </w:rPr>
        <w:t xml:space="preserve"> </w:t>
      </w:r>
      <w:r>
        <w:rPr>
          <w:lang w:val="it-IT"/>
        </w:rPr>
        <w:t xml:space="preserve">nel secondo semestre, </w:t>
      </w:r>
      <w:r w:rsidR="006017CE" w:rsidRPr="00D901E7">
        <w:rPr>
          <w:lang w:val="it-IT"/>
        </w:rPr>
        <w:t>ad un approccio cauto di tipo “wait and see”.</w:t>
      </w:r>
      <w:r w:rsidR="00D901E7" w:rsidRPr="00D901E7">
        <w:rPr>
          <w:lang w:val="it-IT"/>
        </w:rPr>
        <w:t xml:space="preserve"> Tali dati confermano </w:t>
      </w:r>
      <w:r w:rsidR="00D901E7" w:rsidRPr="006E7827">
        <w:rPr>
          <w:b/>
          <w:bCs/>
          <w:lang w:val="it-IT"/>
        </w:rPr>
        <w:t xml:space="preserve">il trend </w:t>
      </w:r>
      <w:r w:rsidR="00D901E7" w:rsidRPr="006E7827">
        <w:rPr>
          <w:lang w:val="it-IT"/>
        </w:rPr>
        <w:t>previsto anche</w:t>
      </w:r>
      <w:r w:rsidR="00D901E7" w:rsidRPr="006E7827">
        <w:rPr>
          <w:b/>
          <w:bCs/>
          <w:lang w:val="it-IT"/>
        </w:rPr>
        <w:t xml:space="preserve"> per i prossimi 12-18 mesi</w:t>
      </w:r>
      <w:r w:rsidR="00D901E7" w:rsidRPr="006E7827">
        <w:rPr>
          <w:lang w:val="it-IT"/>
        </w:rPr>
        <w:t>, che</w:t>
      </w:r>
      <w:r w:rsidR="00D901E7" w:rsidRPr="006E7827">
        <w:rPr>
          <w:b/>
          <w:bCs/>
          <w:lang w:val="it-IT"/>
        </w:rPr>
        <w:t xml:space="preserve"> vede gli investitori focalizzati sulle strutture di lusso</w:t>
      </w:r>
      <w:r w:rsidR="006E7827" w:rsidRPr="006E7827">
        <w:rPr>
          <w:b/>
          <w:bCs/>
          <w:lang w:val="it-IT"/>
        </w:rPr>
        <w:t xml:space="preserve">, </w:t>
      </w:r>
      <w:r w:rsidR="00D901E7" w:rsidRPr="006E7827">
        <w:rPr>
          <w:b/>
          <w:bCs/>
          <w:lang w:val="it-IT"/>
        </w:rPr>
        <w:t>extra-lusso</w:t>
      </w:r>
      <w:r w:rsidR="006E7827" w:rsidRPr="006E7827">
        <w:rPr>
          <w:b/>
          <w:bCs/>
          <w:lang w:val="it-IT"/>
        </w:rPr>
        <w:t xml:space="preserve"> e</w:t>
      </w:r>
      <w:r w:rsidR="00D901E7" w:rsidRPr="006E7827">
        <w:rPr>
          <w:b/>
          <w:bCs/>
          <w:lang w:val="it-IT"/>
        </w:rPr>
        <w:t xml:space="preserve"> resort.</w:t>
      </w:r>
    </w:p>
    <w:p w14:paraId="600BD6F9" w14:textId="728E34E3" w:rsidR="00D901E7" w:rsidRPr="00E47E25" w:rsidRDefault="00D901E7" w:rsidP="00D901E7">
      <w:pPr>
        <w:jc w:val="both"/>
        <w:rPr>
          <w:lang w:val="it-IT"/>
        </w:rPr>
      </w:pPr>
      <w:r w:rsidRPr="00D901E7">
        <w:rPr>
          <w:lang w:val="it-IT"/>
        </w:rPr>
        <w:t>La previsione per il 2023 e il 2024 è di una ripresa del trend di crescita. Un’ ipotesi sostenuta dall’aumento dei volumi d</w:t>
      </w:r>
      <w:r>
        <w:rPr>
          <w:lang w:val="it-IT"/>
        </w:rPr>
        <w:t>e</w:t>
      </w:r>
      <w:r w:rsidRPr="00D901E7">
        <w:rPr>
          <w:lang w:val="it-IT"/>
        </w:rPr>
        <w:t>i flussi turistici</w:t>
      </w:r>
      <w:r>
        <w:rPr>
          <w:lang w:val="it-IT"/>
        </w:rPr>
        <w:t xml:space="preserve"> </w:t>
      </w:r>
      <w:r w:rsidRPr="00D901E7">
        <w:rPr>
          <w:lang w:val="it-IT"/>
        </w:rPr>
        <w:t xml:space="preserve">che si stanno riallineando ai valori del 2019 </w:t>
      </w:r>
      <w:r>
        <w:rPr>
          <w:lang w:val="it-IT"/>
        </w:rPr>
        <w:t xml:space="preserve">e da trend emergenti come la </w:t>
      </w:r>
      <w:r w:rsidRPr="006E7827">
        <w:rPr>
          <w:b/>
          <w:bCs/>
          <w:lang w:val="it-IT"/>
        </w:rPr>
        <w:t>destagionalizzazione</w:t>
      </w:r>
      <w:r>
        <w:rPr>
          <w:lang w:val="it-IT"/>
        </w:rPr>
        <w:t xml:space="preserve">, con una redistribuzione dei flussi in periodi più lunghi dell’anno, la diffusione dei </w:t>
      </w:r>
      <w:r w:rsidRPr="006E7827">
        <w:rPr>
          <w:b/>
          <w:bCs/>
          <w:lang w:val="it-IT"/>
        </w:rPr>
        <w:t>viaggi leisure</w:t>
      </w:r>
      <w:r>
        <w:rPr>
          <w:lang w:val="it-IT"/>
        </w:rPr>
        <w:t xml:space="preserve"> in città secondarie, località marittime e montane, e il </w:t>
      </w:r>
      <w:r w:rsidRPr="006E7827">
        <w:rPr>
          <w:b/>
          <w:bCs/>
          <w:lang w:val="it-IT"/>
        </w:rPr>
        <w:t>ritorno dei viaggiatori stranieri</w:t>
      </w:r>
      <w:r>
        <w:rPr>
          <w:lang w:val="it-IT"/>
        </w:rPr>
        <w:t>, sia dall’Unione Europea, sia da paesi extra-UE</w:t>
      </w:r>
      <w:r w:rsidRPr="00D901E7">
        <w:rPr>
          <w:lang w:val="it-IT"/>
        </w:rPr>
        <w:t>. Nonostante ciò, in virtù dei fattori macroeconomici già descritti, l’atteggiamento degli investitori nei primi mesi del 2023 è ancora cauto e attendista.</w:t>
      </w:r>
    </w:p>
    <w:p w14:paraId="2E26A709" w14:textId="77777777" w:rsidR="00E47E25" w:rsidRDefault="00E47E25" w:rsidP="00E47E25">
      <w:pPr>
        <w:rPr>
          <w:b/>
          <w:bCs/>
          <w:lang w:val="it-IT"/>
        </w:rPr>
      </w:pPr>
    </w:p>
    <w:p w14:paraId="1609116C" w14:textId="46CFD4E1" w:rsidR="00E47E25" w:rsidRPr="00E47E25" w:rsidRDefault="00E47E25" w:rsidP="00D901E7">
      <w:pPr>
        <w:jc w:val="both"/>
        <w:rPr>
          <w:b/>
          <w:bCs/>
          <w:lang w:val="it-IT"/>
        </w:rPr>
      </w:pPr>
      <w:r w:rsidRPr="00E47E25">
        <w:rPr>
          <w:b/>
          <w:bCs/>
          <w:lang w:val="it-IT"/>
        </w:rPr>
        <w:t xml:space="preserve">Brescia </w:t>
      </w:r>
    </w:p>
    <w:p w14:paraId="70051AF0" w14:textId="525BF849" w:rsidR="00E47E25" w:rsidRPr="00E47E25" w:rsidRDefault="00E47E25" w:rsidP="00D901E7">
      <w:pPr>
        <w:jc w:val="both"/>
        <w:rPr>
          <w:lang w:val="it-IT"/>
        </w:rPr>
      </w:pPr>
      <w:r w:rsidRPr="00E47E25">
        <w:rPr>
          <w:lang w:val="it-IT"/>
        </w:rPr>
        <w:t>Nel 2023 Brescia, insieme a Bergamo, è capitale della cultura e già negli ultimi anni si è registrata una certa dinamicità nel mercato immobiliare alberghiero, soprattutto per quanto</w:t>
      </w:r>
      <w:r w:rsidR="004321E4">
        <w:rPr>
          <w:lang w:val="it-IT"/>
        </w:rPr>
        <w:t xml:space="preserve"> </w:t>
      </w:r>
      <w:r w:rsidRPr="00E47E25">
        <w:rPr>
          <w:lang w:val="it-IT"/>
        </w:rPr>
        <w:t>riguarda la provincia, caratterizzata da un turismo lacuale e montano.</w:t>
      </w:r>
      <w:r w:rsidR="006E7827">
        <w:rPr>
          <w:lang w:val="it-IT"/>
        </w:rPr>
        <w:t xml:space="preserve"> </w:t>
      </w:r>
      <w:r w:rsidRPr="00E47E25">
        <w:rPr>
          <w:lang w:val="it-IT"/>
        </w:rPr>
        <w:t xml:space="preserve">Il turismo nella provincia </w:t>
      </w:r>
      <w:r w:rsidR="006E7827">
        <w:rPr>
          <w:lang w:val="it-IT"/>
        </w:rPr>
        <w:t>bresciana</w:t>
      </w:r>
      <w:r w:rsidRPr="00E47E25">
        <w:rPr>
          <w:lang w:val="it-IT"/>
        </w:rPr>
        <w:t xml:space="preserve"> è classificabile come “slow tourism” (turismo lento), scelta alternativa rispetto al turismo di massa, che risponde all’esigenza di allontanarsi dalla frenesia della vita quotidiana. La provincia di Brescia offre un turismo culturale nel suo capoluogo, un turismo </w:t>
      </w:r>
      <w:r w:rsidR="007177C3" w:rsidRPr="00E47E25">
        <w:rPr>
          <w:lang w:val="it-IT"/>
        </w:rPr>
        <w:t>lacuale</w:t>
      </w:r>
      <w:r w:rsidRPr="00E47E25">
        <w:rPr>
          <w:lang w:val="it-IT"/>
        </w:rPr>
        <w:t xml:space="preserve"> e termale nell’intorno dei suoi tre laghi (Lago d’Iseo, Lago </w:t>
      </w:r>
      <w:r w:rsidR="007177C3">
        <w:rPr>
          <w:lang w:val="it-IT"/>
        </w:rPr>
        <w:t>d</w:t>
      </w:r>
      <w:r w:rsidRPr="00E47E25">
        <w:rPr>
          <w:lang w:val="it-IT"/>
        </w:rPr>
        <w:t xml:space="preserve">’Idro e Lago di Garda), un turismo enogastronomico nella zona della Franciacorta, </w:t>
      </w:r>
      <w:r w:rsidR="007177C3">
        <w:rPr>
          <w:lang w:val="it-IT"/>
        </w:rPr>
        <w:t xml:space="preserve">un </w:t>
      </w:r>
      <w:r w:rsidRPr="00E47E25">
        <w:rPr>
          <w:lang w:val="it-IT"/>
        </w:rPr>
        <w:t xml:space="preserve">turismo sciistico e montano </w:t>
      </w:r>
      <w:r w:rsidR="007177C3">
        <w:rPr>
          <w:lang w:val="it-IT"/>
        </w:rPr>
        <w:t>in</w:t>
      </w:r>
      <w:r w:rsidRPr="00E47E25">
        <w:rPr>
          <w:lang w:val="it-IT"/>
        </w:rPr>
        <w:t xml:space="preserve"> Valle Camonica e Valle Trompia. Anche il cicloturismo è in fase di crescita: la provincia di Brescia, grazie alle sue infrastrutture, offre vari percorsi per gli appassionati</w:t>
      </w:r>
      <w:r w:rsidR="007177C3">
        <w:rPr>
          <w:lang w:val="it-IT"/>
        </w:rPr>
        <w:t>, tra cui</w:t>
      </w:r>
      <w:r w:rsidRPr="00E47E25">
        <w:rPr>
          <w:lang w:val="it-IT"/>
        </w:rPr>
        <w:t xml:space="preserve"> la ciclabile sospesa del Garda, la Ciclovia dell’Oglio, itinerario Brescia – Verona e l’itinerario della Valle Camonica.</w:t>
      </w:r>
    </w:p>
    <w:p w14:paraId="6A10A299" w14:textId="77777777" w:rsidR="00E47E25" w:rsidRDefault="00E47E25" w:rsidP="00D901E7">
      <w:pPr>
        <w:jc w:val="both"/>
        <w:rPr>
          <w:lang w:val="it-IT"/>
        </w:rPr>
      </w:pPr>
    </w:p>
    <w:p w14:paraId="0EE74C52" w14:textId="1BE2E24F" w:rsidR="00E47E25" w:rsidRPr="00E47E25" w:rsidRDefault="00E47E25" w:rsidP="00D901E7">
      <w:pPr>
        <w:jc w:val="both"/>
        <w:rPr>
          <w:lang w:val="it-IT"/>
        </w:rPr>
      </w:pPr>
      <w:r w:rsidRPr="00E47E25">
        <w:rPr>
          <w:b/>
          <w:bCs/>
          <w:lang w:val="it-IT"/>
        </w:rPr>
        <w:t>Bari</w:t>
      </w:r>
    </w:p>
    <w:p w14:paraId="553B82AF" w14:textId="5F86B9E3" w:rsidR="00E47E25" w:rsidRPr="00E47E25" w:rsidRDefault="00E47E25" w:rsidP="00D901E7">
      <w:pPr>
        <w:jc w:val="both"/>
        <w:rPr>
          <w:lang w:val="it-IT"/>
        </w:rPr>
      </w:pPr>
      <w:r w:rsidRPr="00E47E25">
        <w:rPr>
          <w:lang w:val="it-IT"/>
        </w:rPr>
        <w:t xml:space="preserve">La città di Bari sta attraversando una fase espansiva, diventando sempre più turistica grazie all’aumento della domanda. Tale trasformazione è visibile anche nelle vie del centro, che negli ultimi anni hanno cambiato il loro volto grazie al boom di nuovi ristoranti, bar, B&amp;B e di appartamenti per affitti brevi. Oltre all’alta stagione, risultano centrali per il turismo della città i grandi eventi che servono da vetrina per il capoluogo pugliese e attraggono flussi turistici anche in bassa stagione. La rinascita della città dal punto di vista turistico, tuttavia, si scontra con la carenza di </w:t>
      </w:r>
      <w:r w:rsidR="00D901E7">
        <w:rPr>
          <w:lang w:val="it-IT"/>
        </w:rPr>
        <w:t>strutture</w:t>
      </w:r>
      <w:r w:rsidRPr="00E47E25">
        <w:rPr>
          <w:lang w:val="it-IT"/>
        </w:rPr>
        <w:t xml:space="preserve"> alberghiere.</w:t>
      </w:r>
      <w:r w:rsidR="00D901E7">
        <w:rPr>
          <w:lang w:val="it-IT"/>
        </w:rPr>
        <w:t xml:space="preserve"> </w:t>
      </w:r>
      <w:r w:rsidRPr="00E47E25">
        <w:rPr>
          <w:lang w:val="it-IT"/>
        </w:rPr>
        <w:t xml:space="preserve">Il percorso per colmare il gap tra domanda crescente e offerta </w:t>
      </w:r>
      <w:r w:rsidR="00D901E7">
        <w:rPr>
          <w:lang w:val="it-IT"/>
        </w:rPr>
        <w:t xml:space="preserve">vede l’avvio di </w:t>
      </w:r>
      <w:r w:rsidRPr="00E47E25">
        <w:rPr>
          <w:lang w:val="it-IT"/>
        </w:rPr>
        <w:t xml:space="preserve">lavori di ristrutturazione </w:t>
      </w:r>
      <w:r w:rsidR="00D901E7">
        <w:rPr>
          <w:lang w:val="it-IT"/>
        </w:rPr>
        <w:t xml:space="preserve">di alberghi che hanno </w:t>
      </w:r>
      <w:r w:rsidRPr="00E47E25">
        <w:rPr>
          <w:lang w:val="it-IT"/>
        </w:rPr>
        <w:t>cessato l’attività negli ultimi anni.</w:t>
      </w:r>
    </w:p>
    <w:p w14:paraId="6CC068E3" w14:textId="4CDC82E9" w:rsidR="004321E4" w:rsidRDefault="004321E4" w:rsidP="00E47E25">
      <w:pPr>
        <w:jc w:val="both"/>
        <w:rPr>
          <w:b/>
          <w:bCs/>
          <w:color w:val="004A99"/>
          <w:sz w:val="22"/>
          <w:szCs w:val="22"/>
          <w:lang w:val="it-IT"/>
        </w:rPr>
      </w:pPr>
    </w:p>
    <w:p w14:paraId="42970FCB" w14:textId="3845AED8" w:rsidR="006E7827" w:rsidRDefault="006E7827" w:rsidP="00E47E25">
      <w:pPr>
        <w:jc w:val="both"/>
        <w:rPr>
          <w:b/>
          <w:bCs/>
          <w:color w:val="004A99"/>
          <w:sz w:val="22"/>
          <w:szCs w:val="22"/>
          <w:lang w:val="it-IT"/>
        </w:rPr>
      </w:pPr>
    </w:p>
    <w:p w14:paraId="014C35F2" w14:textId="57622F60" w:rsidR="00E47E25" w:rsidRPr="0031722F" w:rsidRDefault="00E47E25" w:rsidP="00E47E25">
      <w:pPr>
        <w:jc w:val="both"/>
        <w:rPr>
          <w:b/>
          <w:bCs/>
          <w:color w:val="004A99"/>
          <w:sz w:val="22"/>
          <w:szCs w:val="22"/>
          <w:lang w:val="it-IT"/>
        </w:rPr>
      </w:pPr>
      <w:r w:rsidRPr="0031722F">
        <w:rPr>
          <w:b/>
          <w:bCs/>
          <w:color w:val="004A99"/>
          <w:sz w:val="22"/>
          <w:szCs w:val="22"/>
          <w:lang w:val="it-IT"/>
        </w:rPr>
        <w:lastRenderedPageBreak/>
        <w:t xml:space="preserve">IL MERCATO IMMOBILIARE </w:t>
      </w:r>
    </w:p>
    <w:p w14:paraId="670F4CFF" w14:textId="77777777" w:rsidR="001F512E" w:rsidRPr="007177C3" w:rsidRDefault="001F512E" w:rsidP="007177C3">
      <w:pPr>
        <w:jc w:val="both"/>
        <w:rPr>
          <w:lang w:val="it-IT"/>
        </w:rPr>
      </w:pPr>
      <w:r w:rsidRPr="007177C3">
        <w:rPr>
          <w:lang w:val="it-IT"/>
        </w:rPr>
        <w:t>Il 2022 registra un aumento dei volumi rispetto all’anno precedente, con una crescita contenuta e omogenea nei diversi comparti. Il sentiment degli operatori è fortemente influenzato dal tema della crescita dell’inflazione e delle iniziative mirate a contenerla. La domanda però è rimasta su livelli ancora alti, in linea con le attese. Maggiore crescita osservata nella prima parte dell’anno.</w:t>
      </w:r>
    </w:p>
    <w:p w14:paraId="152F92DD" w14:textId="4EC9A1ED" w:rsidR="00E47E25" w:rsidRDefault="00E47E25" w:rsidP="00E47E25">
      <w:pPr>
        <w:jc w:val="both"/>
        <w:rPr>
          <w:lang w:val="it-IT"/>
        </w:rPr>
      </w:pPr>
      <w:r w:rsidRPr="00D75290">
        <w:rPr>
          <w:lang w:val="it-IT"/>
        </w:rPr>
        <w:t xml:space="preserve">Il </w:t>
      </w:r>
      <w:r w:rsidRPr="00D75290">
        <w:rPr>
          <w:b/>
          <w:bCs/>
          <w:lang w:val="it-IT"/>
        </w:rPr>
        <w:t xml:space="preserve">residenziale </w:t>
      </w:r>
      <w:r w:rsidRPr="00D75290">
        <w:rPr>
          <w:lang w:val="it-IT"/>
        </w:rPr>
        <w:t>si è dimostrato dinamico, con un aumento dei volumi del 16% rispetto al 2021. Analizzando in dettaglio i singoli trimestri, i primi mesi del 2022 hanno confermato la tendenza positiva registrata nel 2021</w:t>
      </w:r>
      <w:r>
        <w:rPr>
          <w:lang w:val="it-IT"/>
        </w:rPr>
        <w:t>,</w:t>
      </w:r>
      <w:r w:rsidRPr="00D75290">
        <w:rPr>
          <w:lang w:val="it-IT"/>
        </w:rPr>
        <w:t xml:space="preserve"> mentre dal terzo trimestre il mercato ha iniziato a manifestare un rallentamento confermato dalla decrescita dell’ultimo trimestre. Anche nel 2022, Lombardia e Lazio hanno trainato il comparto residenziale, dove il trilocale è </w:t>
      </w:r>
      <w:r>
        <w:rPr>
          <w:lang w:val="it-IT"/>
        </w:rPr>
        <w:t>stato</w:t>
      </w:r>
      <w:r w:rsidRPr="00D75290">
        <w:rPr>
          <w:lang w:val="it-IT"/>
        </w:rPr>
        <w:t xml:space="preserve"> la soluzione preferita dagli acquirenti.</w:t>
      </w:r>
    </w:p>
    <w:p w14:paraId="5D21EAAC" w14:textId="00FF17E4" w:rsidR="00E47E25" w:rsidRDefault="00E47E25" w:rsidP="00E47E25">
      <w:pPr>
        <w:jc w:val="both"/>
        <w:rPr>
          <w:lang w:val="it-IT"/>
        </w:rPr>
      </w:pPr>
      <w:r w:rsidRPr="00EC2AC0">
        <w:rPr>
          <w:lang w:val="it-IT"/>
        </w:rPr>
        <w:t xml:space="preserve">Se nel 2021 il </w:t>
      </w:r>
      <w:r w:rsidRPr="00EC2AC0">
        <w:rPr>
          <w:b/>
          <w:bCs/>
          <w:lang w:val="it-IT"/>
        </w:rPr>
        <w:t>settore logistico</w:t>
      </w:r>
      <w:r w:rsidRPr="00EC2AC0">
        <w:rPr>
          <w:lang w:val="it-IT"/>
        </w:rPr>
        <w:t xml:space="preserve"> si era affermato come prima asset class in Italia, nel 2022 ha registrato complessivamente volumi investiti inferiori al comparto direzionale. Per il logistico il 2022 è stato un anno di consolidamento, con investimenti in lieve aumento che si attestano complessivamente a quota 2,8 miliardi di euro (+5% rispetto all’anno 2021), andando a rappresentare circa il 23% del volume totale a livello nazionale. L’interesse degli investitori è sempre più orientato ad asset di alta qualità e che integrano requisiti di sostenibilità in conformità coi criteri ESG. </w:t>
      </w:r>
    </w:p>
    <w:p w14:paraId="329136F4" w14:textId="320F7662" w:rsidR="00E47E25" w:rsidRPr="00D75290" w:rsidRDefault="00E47E25" w:rsidP="00E47E25">
      <w:pPr>
        <w:jc w:val="both"/>
        <w:rPr>
          <w:lang w:val="it-IT"/>
        </w:rPr>
      </w:pPr>
      <w:r w:rsidRPr="00D75290">
        <w:rPr>
          <w:lang w:val="it-IT"/>
        </w:rPr>
        <w:t xml:space="preserve">Il </w:t>
      </w:r>
      <w:r w:rsidRPr="00D75290">
        <w:rPr>
          <w:b/>
          <w:bCs/>
          <w:lang w:val="it-IT"/>
        </w:rPr>
        <w:t xml:space="preserve">direzionale </w:t>
      </w:r>
      <w:r w:rsidRPr="00D75290">
        <w:rPr>
          <w:lang w:val="it-IT"/>
        </w:rPr>
        <w:t xml:space="preserve">è stato il settore privilegiato dagli investitori, superando il logistico, anche grazie al ritorno in presenza nelle sedi lavorative. Il 2022 è stato, dunque, l’anno del potenziamento del terziario, in particolare nel primo semestre, </w:t>
      </w:r>
      <w:r w:rsidR="00AC7FDD">
        <w:rPr>
          <w:lang w:val="it-IT"/>
        </w:rPr>
        <w:t>in cui</w:t>
      </w:r>
      <w:r w:rsidR="00AC7FDD" w:rsidRPr="00D75290">
        <w:rPr>
          <w:lang w:val="it-IT"/>
        </w:rPr>
        <w:t xml:space="preserve"> </w:t>
      </w:r>
      <w:r w:rsidRPr="00D75290">
        <w:rPr>
          <w:lang w:val="it-IT"/>
        </w:rPr>
        <w:t xml:space="preserve">gli investitori hanno dimostrato maggiore ottimismo </w:t>
      </w:r>
      <w:r w:rsidR="00AC7FDD" w:rsidRPr="00D75290">
        <w:rPr>
          <w:lang w:val="it-IT"/>
        </w:rPr>
        <w:t>punta</w:t>
      </w:r>
      <w:r w:rsidR="00AC7FDD">
        <w:rPr>
          <w:lang w:val="it-IT"/>
        </w:rPr>
        <w:t>nd</w:t>
      </w:r>
      <w:r w:rsidR="00AC7FDD" w:rsidRPr="00D75290">
        <w:rPr>
          <w:lang w:val="it-IT"/>
        </w:rPr>
        <w:t xml:space="preserve">o </w:t>
      </w:r>
      <w:r w:rsidRPr="00D75290">
        <w:rPr>
          <w:lang w:val="it-IT"/>
        </w:rPr>
        <w:t xml:space="preserve">su immobili core e core plus in località prevalentemente centrali. Nel complesso il comparto si è mostrato resiliente, nonostante la decelerazione nella parte finale dell’anno, trainato dalla città di Milano, che ha messo a segno il valore di assorbimento record degli ultimi 10 anni pari a oltre 480.000 mq, e da Roma, dove è proseguita la crescita in atto, con un incremento del take up rispetto al 2021 nell’intorno del 6%. </w:t>
      </w:r>
    </w:p>
    <w:p w14:paraId="79349FC6" w14:textId="0B57EB12" w:rsidR="00E47E25" w:rsidRDefault="00E47E25" w:rsidP="00E47E25">
      <w:pPr>
        <w:jc w:val="both"/>
        <w:rPr>
          <w:lang w:val="it-IT"/>
        </w:rPr>
      </w:pPr>
      <w:r w:rsidRPr="00D75290">
        <w:rPr>
          <w:lang w:val="it-IT"/>
        </w:rPr>
        <w:t xml:space="preserve">Nel </w:t>
      </w:r>
      <w:r w:rsidRPr="00D75290">
        <w:rPr>
          <w:b/>
          <w:bCs/>
          <w:lang w:val="it-IT"/>
        </w:rPr>
        <w:t>mondo retail</w:t>
      </w:r>
      <w:r w:rsidRPr="00D75290">
        <w:rPr>
          <w:lang w:val="it-IT"/>
        </w:rPr>
        <w:t xml:space="preserve"> si continua a registrare una crescita più lenta rispetto agli altri settori, con una riduzione del volume del 30% rispetto al 2021, mettendo a segno un valore assoluto complessivo di circa 900 milioni di euro. Gli investimenti sono principalmente concentrati nel </w:t>
      </w:r>
      <w:r w:rsidR="007177C3">
        <w:rPr>
          <w:lang w:val="it-IT"/>
        </w:rPr>
        <w:t>n</w:t>
      </w:r>
      <w:r w:rsidRPr="00D75290">
        <w:rPr>
          <w:lang w:val="it-IT"/>
        </w:rPr>
        <w:t>ord</w:t>
      </w:r>
      <w:r w:rsidR="007177C3">
        <w:rPr>
          <w:lang w:val="it-IT"/>
        </w:rPr>
        <w:t xml:space="preserve"> </w:t>
      </w:r>
      <w:r w:rsidRPr="00D75290">
        <w:rPr>
          <w:lang w:val="it-IT"/>
        </w:rPr>
        <w:t xml:space="preserve">Italia e focalizzati su interventi di riqualificazione, soprattutto in chiave di sostenibilità, e sull’ampliamento di asset già esistenti a discapito di nuove costruzioni. </w:t>
      </w:r>
    </w:p>
    <w:p w14:paraId="0FB14B7B" w14:textId="77777777" w:rsidR="00E47E25" w:rsidRPr="00D75290" w:rsidRDefault="00E47E25" w:rsidP="00E47E25">
      <w:pPr>
        <w:jc w:val="both"/>
        <w:rPr>
          <w:lang w:val="it-IT"/>
        </w:rPr>
      </w:pPr>
    </w:p>
    <w:p w14:paraId="719236C2" w14:textId="77777777" w:rsidR="00E47E25" w:rsidRPr="00EC2AC0" w:rsidRDefault="00E47E25" w:rsidP="00E47E25">
      <w:pPr>
        <w:jc w:val="both"/>
        <w:rPr>
          <w:b/>
          <w:bCs/>
          <w:color w:val="004A99"/>
          <w:sz w:val="22"/>
          <w:szCs w:val="22"/>
          <w:lang w:val="it-IT"/>
        </w:rPr>
      </w:pPr>
      <w:r w:rsidRPr="00EC2AC0">
        <w:rPr>
          <w:b/>
          <w:bCs/>
          <w:color w:val="004A99"/>
          <w:sz w:val="22"/>
          <w:szCs w:val="22"/>
          <w:lang w:val="it-IT"/>
        </w:rPr>
        <w:t>Real Estate DATA HUB</w:t>
      </w:r>
    </w:p>
    <w:p w14:paraId="114B9868" w14:textId="05170038" w:rsidR="00E47E25" w:rsidRPr="00BE11B1" w:rsidRDefault="00E47E25" w:rsidP="00E47E25">
      <w:pPr>
        <w:jc w:val="both"/>
        <w:rPr>
          <w:lang w:val="it-IT"/>
        </w:rPr>
      </w:pPr>
      <w:r w:rsidRPr="00EC2AC0">
        <w:rPr>
          <w:lang w:val="it-IT"/>
        </w:rPr>
        <w:t xml:space="preserve">Real Estate DATA HUB è il report che analizza l’andamento del mercato immobiliare in Italia realizzato dal Centro Studi di RE/MAX Italia, in collaborazione con il Centro Studi di Avalon Real Estate e l’Ufficio Studi di 24MAX. Dopo una prima overview sull’andamento dell’economia italiana nel 2022, sulle prospettive per i prossimi mesi e una panoramica sul mercato immobiliare, la settima edizione del Real Estate DATA HUB offre un approfondimento sulle dinamiche </w:t>
      </w:r>
      <w:r w:rsidR="00864549">
        <w:rPr>
          <w:lang w:val="it-IT"/>
        </w:rPr>
        <w:t>delle</w:t>
      </w:r>
      <w:r w:rsidRPr="00EC2AC0">
        <w:rPr>
          <w:lang w:val="it-IT"/>
        </w:rPr>
        <w:t xml:space="preserve"> città di Roma, Milano, Brescia e Bari e delle relative regioni per i singoli mercati analizzati: residenziale, logistico, direzionale e commerciale. Real Estate DATA HUB è uno strumento di analisi innovativo per tutti gli stakeholder del mercato immobiliare. Dati reali di transato, know how ed expertise confluiscono in un’unica banca dati che consente a DATA HUB di avere un punto di vista originale e costantemente aggiornato sul panorama immobiliare italiano. Le analisi dello status quo e le considerazioni previsionali sono supportate da tabelle, grafici e infografiche estremamente puntuali, elaborati congiuntamente dai Centri Studi di RE/MAX Italia e di Avalon Real Estate e dall’Ufficio Studi di 24MAX. Il tutto è arricchito da testimonianze esclusive di opinion leader e player rappresentativi di tutta la filiera.</w:t>
      </w:r>
    </w:p>
    <w:p w14:paraId="0A5F0B3B" w14:textId="77777777" w:rsidR="00F67BD2" w:rsidRPr="00153F05" w:rsidRDefault="00F67BD2" w:rsidP="00F67BD2">
      <w:pPr>
        <w:rPr>
          <w:lang w:val="it-IT"/>
        </w:rPr>
      </w:pPr>
    </w:p>
    <w:p w14:paraId="010B3FAF" w14:textId="77777777" w:rsidR="000F1288" w:rsidRDefault="000F1288" w:rsidP="000F1288">
      <w:pPr>
        <w:jc w:val="center"/>
        <w:rPr>
          <w:b/>
          <w:color w:val="004A99"/>
          <w:sz w:val="22"/>
          <w:szCs w:val="22"/>
          <w:lang w:val="it-IT"/>
        </w:rPr>
      </w:pPr>
    </w:p>
    <w:p w14:paraId="4036460B" w14:textId="77777777" w:rsidR="007177C3" w:rsidRDefault="007177C3" w:rsidP="007177C3">
      <w:pPr>
        <w:pBdr>
          <w:top w:val="single" w:sz="4" w:space="1" w:color="auto"/>
          <w:left w:val="single" w:sz="4" w:space="4" w:color="auto"/>
          <w:bottom w:val="single" w:sz="4" w:space="1" w:color="auto"/>
          <w:right w:val="single" w:sz="4" w:space="4" w:color="auto"/>
        </w:pBdr>
        <w:jc w:val="center"/>
        <w:rPr>
          <w:b/>
          <w:bCs/>
          <w:color w:val="DC1D2E"/>
          <w:sz w:val="22"/>
          <w:szCs w:val="22"/>
          <w:lang w:val="it-IT"/>
        </w:rPr>
      </w:pPr>
    </w:p>
    <w:p w14:paraId="5D4CB236" w14:textId="3ABEAE6C" w:rsidR="007177C3" w:rsidRDefault="004D2E48" w:rsidP="007177C3">
      <w:pPr>
        <w:pBdr>
          <w:top w:val="single" w:sz="4" w:space="1" w:color="auto"/>
          <w:left w:val="single" w:sz="4" w:space="4" w:color="auto"/>
          <w:bottom w:val="single" w:sz="4" w:space="1" w:color="auto"/>
          <w:right w:val="single" w:sz="4" w:space="4" w:color="auto"/>
        </w:pBdr>
        <w:jc w:val="center"/>
        <w:rPr>
          <w:b/>
          <w:bCs/>
          <w:color w:val="DC1D2E"/>
          <w:sz w:val="22"/>
          <w:szCs w:val="22"/>
          <w:lang w:val="it-IT"/>
        </w:rPr>
      </w:pPr>
      <w:r w:rsidRPr="004D2E48">
        <w:rPr>
          <w:b/>
          <w:bCs/>
          <w:color w:val="DC1D2E"/>
          <w:sz w:val="22"/>
          <w:szCs w:val="22"/>
          <w:lang w:val="it-IT"/>
        </w:rPr>
        <w:t xml:space="preserve">Sfoglia </w:t>
      </w:r>
      <w:r w:rsidR="0071091D">
        <w:rPr>
          <w:b/>
          <w:bCs/>
          <w:color w:val="DC1D2E"/>
          <w:sz w:val="22"/>
          <w:szCs w:val="22"/>
          <w:lang w:val="it-IT"/>
        </w:rPr>
        <w:t xml:space="preserve">e scarica </w:t>
      </w:r>
      <w:r w:rsidRPr="004D2E48">
        <w:rPr>
          <w:b/>
          <w:bCs/>
          <w:color w:val="DC1D2E"/>
          <w:sz w:val="22"/>
          <w:szCs w:val="22"/>
          <w:lang w:val="it-IT"/>
        </w:rPr>
        <w:t xml:space="preserve">la versione integrale </w:t>
      </w:r>
      <w:r w:rsidR="00E06583">
        <w:rPr>
          <w:b/>
          <w:bCs/>
          <w:color w:val="DC1D2E"/>
          <w:sz w:val="22"/>
          <w:szCs w:val="22"/>
          <w:lang w:val="it-IT"/>
        </w:rPr>
        <w:t xml:space="preserve">del </w:t>
      </w:r>
      <w:r>
        <w:rPr>
          <w:b/>
          <w:bCs/>
          <w:color w:val="DC1D2E"/>
          <w:sz w:val="22"/>
          <w:szCs w:val="22"/>
          <w:lang w:val="it-IT"/>
        </w:rPr>
        <w:t>R</w:t>
      </w:r>
      <w:r w:rsidRPr="004D2E48">
        <w:rPr>
          <w:b/>
          <w:bCs/>
          <w:color w:val="DC1D2E"/>
          <w:sz w:val="22"/>
          <w:szCs w:val="22"/>
          <w:lang w:val="it-IT"/>
        </w:rPr>
        <w:t xml:space="preserve">eal </w:t>
      </w:r>
      <w:r>
        <w:rPr>
          <w:b/>
          <w:bCs/>
          <w:color w:val="DC1D2E"/>
          <w:sz w:val="22"/>
          <w:szCs w:val="22"/>
          <w:lang w:val="it-IT"/>
        </w:rPr>
        <w:t>E</w:t>
      </w:r>
      <w:r w:rsidRPr="004D2E48">
        <w:rPr>
          <w:b/>
          <w:bCs/>
          <w:color w:val="DC1D2E"/>
          <w:sz w:val="22"/>
          <w:szCs w:val="22"/>
          <w:lang w:val="it-IT"/>
        </w:rPr>
        <w:t xml:space="preserve">state DATA HUB </w:t>
      </w:r>
      <w:r w:rsidR="00E06583">
        <w:rPr>
          <w:b/>
          <w:bCs/>
          <w:color w:val="DC1D2E"/>
          <w:sz w:val="22"/>
          <w:szCs w:val="22"/>
          <w:lang w:val="it-IT"/>
        </w:rPr>
        <w:t xml:space="preserve">2022 / Outlook 2023 </w:t>
      </w:r>
    </w:p>
    <w:p w14:paraId="1EEC004B" w14:textId="7D29E18B" w:rsidR="00F802FE" w:rsidRPr="00864549" w:rsidRDefault="004D2E48" w:rsidP="007177C3">
      <w:pPr>
        <w:pBdr>
          <w:top w:val="single" w:sz="4" w:space="1" w:color="auto"/>
          <w:left w:val="single" w:sz="4" w:space="4" w:color="auto"/>
          <w:bottom w:val="single" w:sz="4" w:space="1" w:color="auto"/>
          <w:right w:val="single" w:sz="4" w:space="4" w:color="auto"/>
        </w:pBdr>
        <w:jc w:val="center"/>
        <w:rPr>
          <w:lang w:val="it-IT"/>
        </w:rPr>
      </w:pPr>
      <w:r w:rsidRPr="004D2E48">
        <w:rPr>
          <w:b/>
          <w:bCs/>
          <w:color w:val="DC1D2E"/>
          <w:sz w:val="22"/>
          <w:szCs w:val="22"/>
          <w:lang w:val="it-IT"/>
        </w:rPr>
        <w:t xml:space="preserve">al seguente link: </w:t>
      </w:r>
      <w:hyperlink r:id="rId9" w:history="1">
        <w:r w:rsidR="0071091D" w:rsidRPr="007177C3">
          <w:rPr>
            <w:rStyle w:val="Collegamentoipertestuale"/>
            <w:lang w:val="it-IT"/>
          </w:rPr>
          <w:t>https://user-75022683325.cld.bz/REAL-ESTATE-Data-Hub-2022-e-outlook-2023</w:t>
        </w:r>
      </w:hyperlink>
    </w:p>
    <w:p w14:paraId="4ABE91A0" w14:textId="77777777" w:rsidR="007177C3" w:rsidRPr="00F802FE" w:rsidRDefault="007177C3" w:rsidP="007177C3">
      <w:pPr>
        <w:pBdr>
          <w:top w:val="single" w:sz="4" w:space="1" w:color="auto"/>
          <w:left w:val="single" w:sz="4" w:space="4" w:color="auto"/>
          <w:bottom w:val="single" w:sz="4" w:space="1" w:color="auto"/>
          <w:right w:val="single" w:sz="4" w:space="4" w:color="auto"/>
        </w:pBdr>
        <w:jc w:val="center"/>
        <w:rPr>
          <w:b/>
          <w:color w:val="DC1D2E"/>
          <w:sz w:val="22"/>
          <w:szCs w:val="22"/>
          <w:highlight w:val="yellow"/>
          <w:lang w:val="it-IT"/>
        </w:rPr>
      </w:pPr>
    </w:p>
    <w:p w14:paraId="255E7E56" w14:textId="77777777" w:rsidR="00A074E1" w:rsidRDefault="00A074E1" w:rsidP="00360D01">
      <w:pPr>
        <w:jc w:val="both"/>
        <w:rPr>
          <w:b/>
          <w:color w:val="004A99"/>
          <w:lang w:val="it-IT"/>
        </w:rPr>
      </w:pPr>
    </w:p>
    <w:p w14:paraId="556E3FA8" w14:textId="45FA10AC" w:rsidR="00855BC2" w:rsidRPr="0093192F" w:rsidRDefault="00855BC2" w:rsidP="00360D01">
      <w:pPr>
        <w:jc w:val="both"/>
        <w:rPr>
          <w:b/>
          <w:color w:val="004A99"/>
          <w:lang w:val="it-IT"/>
        </w:rPr>
      </w:pPr>
      <w:r w:rsidRPr="0093192F">
        <w:rPr>
          <w:b/>
          <w:color w:val="004A99"/>
          <w:lang w:val="it-IT"/>
        </w:rPr>
        <w:t>COMPANY</w:t>
      </w:r>
      <w:r w:rsidRPr="0093192F">
        <w:rPr>
          <w:b/>
          <w:lang w:val="it-IT"/>
        </w:rPr>
        <w:t xml:space="preserve"> </w:t>
      </w:r>
      <w:r w:rsidRPr="0093192F">
        <w:rPr>
          <w:b/>
          <w:color w:val="004A99"/>
          <w:lang w:val="it-IT"/>
        </w:rPr>
        <w:t>PROFILE RE/MAX ITALIA – remax.it</w:t>
      </w:r>
    </w:p>
    <w:p w14:paraId="546B8B03" w14:textId="77777777" w:rsidR="00C96CA3" w:rsidRPr="00C96CA3" w:rsidRDefault="00C96CA3" w:rsidP="00C96CA3">
      <w:pPr>
        <w:jc w:val="both"/>
        <w:rPr>
          <w:sz w:val="18"/>
          <w:szCs w:val="18"/>
          <w:lang w:val="it-IT"/>
        </w:rPr>
      </w:pPr>
      <w:r w:rsidRPr="00C96CA3">
        <w:rPr>
          <w:sz w:val="18"/>
          <w:szCs w:val="18"/>
          <w:lang w:val="it-IT"/>
        </w:rPr>
        <w:t>Fondata in USA nel 1973 da Dave e Gail Liniger,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3CC0D66B" w14:textId="77777777" w:rsidR="00C96CA3" w:rsidRPr="00C96CA3" w:rsidRDefault="00C96CA3" w:rsidP="00C96CA3">
      <w:pPr>
        <w:jc w:val="both"/>
        <w:rPr>
          <w:sz w:val="18"/>
          <w:szCs w:val="18"/>
          <w:lang w:val="it-IT"/>
        </w:rPr>
      </w:pPr>
      <w:r w:rsidRPr="00C96CA3">
        <w:rPr>
          <w:sz w:val="18"/>
          <w:szCs w:val="18"/>
          <w:lang w:val="it-IT"/>
        </w:rPr>
        <w:t> </w:t>
      </w:r>
    </w:p>
    <w:p w14:paraId="4CEEA907" w14:textId="77777777" w:rsidR="00C96CA3" w:rsidRPr="00C96CA3" w:rsidRDefault="00C96CA3" w:rsidP="00C96CA3">
      <w:pPr>
        <w:jc w:val="both"/>
        <w:rPr>
          <w:sz w:val="18"/>
          <w:szCs w:val="18"/>
          <w:lang w:val="it-IT"/>
        </w:rPr>
      </w:pPr>
      <w:r w:rsidRPr="00C96CA3">
        <w:rPr>
          <w:sz w:val="18"/>
          <w:szCs w:val="18"/>
          <w:lang w:val="it-IT"/>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7AD7496E" w14:textId="77777777" w:rsidR="00C96CA3" w:rsidRPr="00C96CA3" w:rsidRDefault="00C96CA3" w:rsidP="00C96CA3">
      <w:pPr>
        <w:jc w:val="both"/>
        <w:rPr>
          <w:sz w:val="18"/>
          <w:szCs w:val="18"/>
          <w:lang w:val="it-IT"/>
        </w:rPr>
      </w:pPr>
      <w:r w:rsidRPr="00C96CA3">
        <w:rPr>
          <w:sz w:val="18"/>
          <w:szCs w:val="18"/>
          <w:lang w:val="it-IT"/>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experience più confortevole e più soddisfacente in termini economici. </w:t>
      </w:r>
    </w:p>
    <w:p w14:paraId="64283820" w14:textId="77777777" w:rsidR="00305847" w:rsidRPr="00C96CA3" w:rsidRDefault="00305847" w:rsidP="00360D01">
      <w:pPr>
        <w:jc w:val="both"/>
        <w:rPr>
          <w:sz w:val="18"/>
          <w:szCs w:val="18"/>
          <w:lang w:val="it-IT"/>
        </w:rPr>
      </w:pPr>
    </w:p>
    <w:p w14:paraId="3E9307A4" w14:textId="77777777" w:rsidR="004D2E48" w:rsidRPr="00C96CA3" w:rsidRDefault="004D2E48" w:rsidP="004D2E48">
      <w:pPr>
        <w:jc w:val="both"/>
        <w:rPr>
          <w:b/>
          <w:color w:val="004A99"/>
          <w:lang w:val="it-IT"/>
        </w:rPr>
      </w:pPr>
      <w:r w:rsidRPr="00C96CA3">
        <w:rPr>
          <w:b/>
          <w:color w:val="004A99"/>
          <w:lang w:val="it-IT"/>
        </w:rPr>
        <w:t xml:space="preserve">COMPANY PROFILE AVALON REAL ESTATE </w:t>
      </w:r>
    </w:p>
    <w:p w14:paraId="2998F592" w14:textId="77777777" w:rsidR="004D2E48" w:rsidRPr="004D2E48" w:rsidRDefault="004D2E48" w:rsidP="004D2E48">
      <w:pPr>
        <w:jc w:val="both"/>
        <w:rPr>
          <w:sz w:val="18"/>
          <w:szCs w:val="18"/>
          <w:lang w:val="it-IT"/>
        </w:rPr>
      </w:pPr>
      <w:r w:rsidRPr="004D2E48">
        <w:rPr>
          <w:b/>
          <w:bCs/>
          <w:sz w:val="18"/>
          <w:szCs w:val="18"/>
          <w:lang w:val="it-IT"/>
        </w:rPr>
        <w:t xml:space="preserve">Avalon Real Estate, </w:t>
      </w:r>
      <w:r w:rsidRPr="004D2E48">
        <w:rPr>
          <w:sz w:val="18"/>
          <w:szCs w:val="18"/>
          <w:lang w:val="it-IT"/>
        </w:rPr>
        <w:t>società certificata RICS,</w:t>
      </w:r>
      <w:r w:rsidRPr="004D2E48">
        <w:rPr>
          <w:b/>
          <w:bCs/>
          <w:sz w:val="18"/>
          <w:szCs w:val="18"/>
          <w:lang w:val="it-IT"/>
        </w:rPr>
        <w:t xml:space="preserve"> </w:t>
      </w:r>
      <w:r w:rsidRPr="004D2E48">
        <w:rPr>
          <w:sz w:val="18"/>
          <w:szCs w:val="18"/>
          <w:lang w:val="it-IT"/>
        </w:rPr>
        <w:t>nasce nel 2002 da un gruppo di professionisti provenienti da ambiti specialistici eterogenei che decidono di mettere a fattor comune il proprio know-how e la propria passione e di finalizzarli al mondo del Real Estate.</w:t>
      </w:r>
    </w:p>
    <w:p w14:paraId="6C11B774" w14:textId="77777777" w:rsidR="004D2E48" w:rsidRPr="004D2E48" w:rsidRDefault="004D2E48" w:rsidP="004D2E48">
      <w:pPr>
        <w:jc w:val="both"/>
        <w:rPr>
          <w:sz w:val="18"/>
          <w:szCs w:val="18"/>
          <w:lang w:val="it-IT"/>
        </w:rPr>
      </w:pPr>
      <w:r w:rsidRPr="004D2E48">
        <w:rPr>
          <w:sz w:val="18"/>
          <w:szCs w:val="18"/>
          <w:lang w:val="it-IT"/>
        </w:rPr>
        <w:t>La cultura aziendale viene fondata sulla diversificazione delle competenze e sulla sinergia fra di esse, sulla volontà di garantire ai clienti risultati affidabili e tempestivi, sulla formazione e crescita continua.</w:t>
      </w:r>
    </w:p>
    <w:p w14:paraId="7EB7E009" w14:textId="77777777" w:rsidR="004D2E48" w:rsidRPr="004D2E48" w:rsidRDefault="004D2E48" w:rsidP="004D2E48">
      <w:pPr>
        <w:jc w:val="both"/>
        <w:rPr>
          <w:sz w:val="18"/>
          <w:szCs w:val="18"/>
          <w:lang w:val="it-IT"/>
        </w:rPr>
      </w:pPr>
      <w:r w:rsidRPr="004D2E48">
        <w:rPr>
          <w:sz w:val="18"/>
          <w:szCs w:val="18"/>
          <w:lang w:val="it-IT"/>
        </w:rPr>
        <w:t>Negli anni Avalon ha acquisito un grado sempre maggiore di riconoscimento e fiducia fra i propri clienti e si è affermata nel ruolo di consulente immobiliare, dando prova delle proprie capacità nell’individuare soluzioni su misura per ogni esigenza che può sorgere in fase di acquisizione, gestione e dismissione di patrimoni immobiliari.</w:t>
      </w:r>
    </w:p>
    <w:p w14:paraId="6F1AC60F" w14:textId="77777777" w:rsidR="004D2E48" w:rsidRPr="004D2E48" w:rsidRDefault="004D2E48" w:rsidP="004D2E48">
      <w:pPr>
        <w:jc w:val="both"/>
        <w:rPr>
          <w:sz w:val="18"/>
          <w:szCs w:val="18"/>
          <w:lang w:val="it-IT"/>
        </w:rPr>
      </w:pPr>
      <w:r w:rsidRPr="004D2E48">
        <w:rPr>
          <w:sz w:val="18"/>
          <w:szCs w:val="18"/>
          <w:lang w:val="it-IT"/>
        </w:rPr>
        <w:t xml:space="preserve">A completare il percorso di crescita nel 2017 nasce </w:t>
      </w:r>
      <w:r w:rsidRPr="004D2E48">
        <w:rPr>
          <w:b/>
          <w:bCs/>
          <w:sz w:val="18"/>
          <w:szCs w:val="18"/>
          <w:lang w:val="it-IT"/>
        </w:rPr>
        <w:t>Avalon Technical Services,</w:t>
      </w:r>
      <w:r w:rsidRPr="004D2E48">
        <w:rPr>
          <w:sz w:val="18"/>
          <w:szCs w:val="18"/>
          <w:lang w:val="it-IT"/>
        </w:rPr>
        <w:t xml:space="preserve"> focalizzata sui servizi di natura tecnica per affiancare i propri clienti nei momenti di indagine, progettazione, realizzazione e trasformazione dei propri asset immobiliari.</w:t>
      </w:r>
    </w:p>
    <w:p w14:paraId="712D12F9" w14:textId="65DA7D45" w:rsidR="004D2E48" w:rsidRDefault="004D2E48" w:rsidP="004D2E48">
      <w:pPr>
        <w:jc w:val="both"/>
        <w:rPr>
          <w:sz w:val="18"/>
          <w:szCs w:val="18"/>
          <w:lang w:val="it-IT"/>
        </w:rPr>
      </w:pPr>
      <w:r w:rsidRPr="004D2E48">
        <w:rPr>
          <w:sz w:val="18"/>
          <w:szCs w:val="18"/>
          <w:lang w:val="it-IT"/>
        </w:rPr>
        <w:t>Avalon opera come</w:t>
      </w:r>
      <w:r w:rsidRPr="004D2E48">
        <w:rPr>
          <w:b/>
          <w:bCs/>
          <w:sz w:val="18"/>
          <w:szCs w:val="18"/>
          <w:lang w:val="it-IT"/>
        </w:rPr>
        <w:t xml:space="preserve"> </w:t>
      </w:r>
      <w:r w:rsidRPr="004D2E48">
        <w:rPr>
          <w:sz w:val="18"/>
          <w:szCs w:val="18"/>
          <w:lang w:val="it-IT"/>
        </w:rPr>
        <w:t>unico</w:t>
      </w:r>
      <w:r w:rsidRPr="004D2E48">
        <w:rPr>
          <w:b/>
          <w:bCs/>
          <w:sz w:val="18"/>
          <w:szCs w:val="18"/>
          <w:lang w:val="it-IT"/>
        </w:rPr>
        <w:t xml:space="preserve"> </w:t>
      </w:r>
      <w:r w:rsidRPr="004D2E48">
        <w:rPr>
          <w:sz w:val="18"/>
          <w:szCs w:val="18"/>
          <w:lang w:val="it-IT"/>
        </w:rPr>
        <w:t>advisor attraverso le proprie competenze multidisciplinari garantendo un supporto strategico completo in ogni fase del processo di valorizzazione immobiliare.</w:t>
      </w:r>
    </w:p>
    <w:p w14:paraId="0A04A35A" w14:textId="77777777" w:rsidR="004D2E48" w:rsidRPr="004D2E48" w:rsidRDefault="004D2E48" w:rsidP="004D2E48">
      <w:pPr>
        <w:jc w:val="both"/>
        <w:rPr>
          <w:sz w:val="18"/>
          <w:szCs w:val="18"/>
          <w:lang w:val="it-IT"/>
        </w:rPr>
      </w:pPr>
    </w:p>
    <w:p w14:paraId="693DDF74" w14:textId="77777777" w:rsidR="004D2E48" w:rsidRPr="004D2E48" w:rsidRDefault="004D2E48" w:rsidP="004D2E48">
      <w:pPr>
        <w:jc w:val="both"/>
        <w:rPr>
          <w:b/>
          <w:color w:val="004A99"/>
          <w:lang w:val="it-IT"/>
        </w:rPr>
      </w:pPr>
      <w:r w:rsidRPr="004D2E48">
        <w:rPr>
          <w:b/>
          <w:color w:val="004A99"/>
          <w:lang w:val="it-IT"/>
        </w:rPr>
        <w:t>COMPANY PROFILE 24MAX</w:t>
      </w:r>
    </w:p>
    <w:p w14:paraId="05B24EDE" w14:textId="77777777" w:rsidR="004D2E48" w:rsidRPr="004D2E48" w:rsidRDefault="004D2E48" w:rsidP="004D2E48">
      <w:pPr>
        <w:jc w:val="both"/>
        <w:rPr>
          <w:sz w:val="18"/>
          <w:szCs w:val="18"/>
          <w:lang w:val="it-IT"/>
        </w:rPr>
      </w:pPr>
      <w:r w:rsidRPr="004D2E48">
        <w:rPr>
          <w:b/>
          <w:bCs/>
          <w:sz w:val="18"/>
          <w:szCs w:val="18"/>
          <w:lang w:val="it-IT"/>
        </w:rPr>
        <w:t>24MAX Spa</w:t>
      </w:r>
      <w:r w:rsidRPr="004D2E48">
        <w:rPr>
          <w:sz w:val="18"/>
          <w:szCs w:val="18"/>
          <w:lang w:val="it-IT"/>
        </w:rPr>
        <w:t xml:space="preserve"> è la Società di Mediazione Creditizia ideata e realizzata per dare una risposta concreta all’esigenza di consulenza finanziaria della clientela che compra casa affidandosi ad una Agenzia Immobiliare RE/MAX, in tempo reale. 24MAX è partecipata da RE/MAX Italia e 24Finance Spa.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Specialist di 24MAX, professionisti selezionati tra i migliori presenti sul mercato del credito per la loro competenza ed esperienza.</w:t>
      </w:r>
    </w:p>
    <w:p w14:paraId="03346AB8" w14:textId="77777777" w:rsidR="00305898" w:rsidRPr="00305898" w:rsidRDefault="00305898" w:rsidP="00305898">
      <w:pPr>
        <w:jc w:val="both"/>
        <w:rPr>
          <w:sz w:val="18"/>
          <w:szCs w:val="18"/>
          <w:lang w:val="it-IT"/>
        </w:rPr>
      </w:pPr>
      <w:bookmarkStart w:id="0" w:name="_Hlk135218592"/>
      <w:r w:rsidRPr="00305898">
        <w:rPr>
          <w:sz w:val="18"/>
          <w:szCs w:val="18"/>
          <w:lang w:val="it-IT"/>
        </w:rPr>
        <w:t xml:space="preserve">Ad oggi 24MAX ha attivato convenzioni con primari istituti di credito nazionali e territoriali, quali: Agos Ducato S.p.A., Banca di Credito Cooperativo di Roma, Banca Nazionale del Lavoro S.p.A., Banca Progetto S.p.A., BiverBanca S.p.A., Cassa di Risparmio </w:t>
      </w:r>
      <w:r w:rsidRPr="00305898">
        <w:rPr>
          <w:sz w:val="18"/>
          <w:szCs w:val="18"/>
          <w:lang w:val="it-IT"/>
        </w:rPr>
        <w:lastRenderedPageBreak/>
        <w:t>di Asti S.p.A., CheBanca! S.p.A., Compass S.p.A., Crédit Agricole Cariparma S.p.A., Crédit Agricole FriulAdria S.p.A., Fincontinuo S.p.A., IBL Banca S.p.A., Ing Bank, Extrabanca, Prestiamoci S.p.A, Banca Centro Lazio, Younited, Banca del Veneto Centrale, 24Broker e Banca di Sconto.</w:t>
      </w:r>
    </w:p>
    <w:bookmarkEnd w:id="0"/>
    <w:p w14:paraId="24885971" w14:textId="4EE736C8" w:rsidR="004D2E48" w:rsidRPr="004D2E48" w:rsidRDefault="004D2E48" w:rsidP="004D2E48">
      <w:pPr>
        <w:jc w:val="both"/>
        <w:rPr>
          <w:b/>
          <w:bCs/>
          <w:i/>
          <w:iCs/>
          <w:sz w:val="18"/>
          <w:szCs w:val="18"/>
          <w:lang w:val="it-IT"/>
        </w:rPr>
      </w:pPr>
    </w:p>
    <w:p w14:paraId="45A3C4FB" w14:textId="2FD355C6" w:rsidR="00855BC2" w:rsidRPr="007177C3" w:rsidRDefault="00855BC2" w:rsidP="00B00E51">
      <w:pPr>
        <w:keepNext/>
        <w:keepLines/>
        <w:pBdr>
          <w:top w:val="nil"/>
          <w:left w:val="nil"/>
          <w:bottom w:val="nil"/>
          <w:right w:val="nil"/>
          <w:between w:val="nil"/>
        </w:pBdr>
        <w:spacing w:before="400"/>
        <w:jc w:val="both"/>
        <w:rPr>
          <w:b/>
          <w:color w:val="DC1C2E"/>
          <w:sz w:val="22"/>
          <w:szCs w:val="22"/>
          <w:lang w:val="it-IT"/>
        </w:rPr>
      </w:pPr>
      <w:r w:rsidRPr="007177C3">
        <w:rPr>
          <w:b/>
          <w:color w:val="DC1C2E"/>
          <w:sz w:val="22"/>
          <w:szCs w:val="22"/>
          <w:lang w:val="it-IT"/>
        </w:rPr>
        <w:t xml:space="preserve">Pinkommunication srl - Ufficio stampa </w:t>
      </w:r>
      <w:r w:rsidR="00C6179A" w:rsidRPr="007177C3">
        <w:rPr>
          <w:b/>
          <w:color w:val="DC1C2E"/>
          <w:sz w:val="22"/>
          <w:szCs w:val="22"/>
          <w:lang w:val="it-IT"/>
        </w:rPr>
        <w:t xml:space="preserve">di </w:t>
      </w:r>
      <w:r w:rsidRPr="007177C3">
        <w:rPr>
          <w:b/>
          <w:color w:val="DC1C2E"/>
          <w:sz w:val="22"/>
          <w:szCs w:val="22"/>
          <w:lang w:val="it-IT"/>
        </w:rPr>
        <w:t xml:space="preserve">RE/MAX Italia </w:t>
      </w:r>
      <w:r w:rsidR="00A074E1" w:rsidRPr="007177C3">
        <w:rPr>
          <w:b/>
          <w:color w:val="DC1C2E"/>
          <w:sz w:val="22"/>
          <w:szCs w:val="22"/>
          <w:lang w:val="it-IT"/>
        </w:rPr>
        <w:t xml:space="preserve">e </w:t>
      </w:r>
      <w:r w:rsidR="00C6179A" w:rsidRPr="007177C3">
        <w:rPr>
          <w:b/>
          <w:color w:val="DC1C2E"/>
          <w:sz w:val="22"/>
          <w:szCs w:val="22"/>
          <w:lang w:val="it-IT"/>
        </w:rPr>
        <w:t>di 24MAX</w:t>
      </w:r>
    </w:p>
    <w:p w14:paraId="36C89DD6" w14:textId="77777777" w:rsidR="00855BC2" w:rsidRPr="007B004F" w:rsidRDefault="00855BC2" w:rsidP="00360D01">
      <w:pPr>
        <w:jc w:val="both"/>
        <w:rPr>
          <w:color w:val="000000"/>
          <w:lang w:val="it-IT"/>
        </w:rPr>
      </w:pPr>
      <w:r w:rsidRPr="007B004F">
        <w:rPr>
          <w:color w:val="000000"/>
          <w:lang w:val="it-IT"/>
        </w:rPr>
        <w:t xml:space="preserve">Cristina Cortellezzi – Laura Premoli – Claudia Valerani </w:t>
      </w:r>
    </w:p>
    <w:p w14:paraId="495BED9D" w14:textId="77777777" w:rsidR="00855BC2" w:rsidRPr="007B004F" w:rsidRDefault="00AA6127" w:rsidP="00360D01">
      <w:pPr>
        <w:jc w:val="both"/>
        <w:rPr>
          <w:color w:val="000000"/>
          <w:lang w:val="it-IT"/>
        </w:rPr>
      </w:pPr>
      <w:hyperlink r:id="rId10" w:history="1">
        <w:r w:rsidR="00855BC2" w:rsidRPr="007B004F">
          <w:rPr>
            <w:color w:val="000000"/>
            <w:lang w:val="it-IT"/>
          </w:rPr>
          <w:t>info@pinkommunication.it</w:t>
        </w:r>
      </w:hyperlink>
      <w:r w:rsidR="00855BC2" w:rsidRPr="007B004F">
        <w:rPr>
          <w:color w:val="000000"/>
          <w:lang w:val="it-IT"/>
        </w:rPr>
        <w:t xml:space="preserve"> </w:t>
      </w:r>
    </w:p>
    <w:p w14:paraId="66B775D3" w14:textId="77777777" w:rsidR="00855BC2" w:rsidRPr="007B004F" w:rsidRDefault="00855BC2" w:rsidP="00360D01">
      <w:pPr>
        <w:jc w:val="both"/>
        <w:rPr>
          <w:color w:val="000000"/>
          <w:lang w:val="it-IT"/>
        </w:rPr>
      </w:pPr>
      <w:r w:rsidRPr="007B004F">
        <w:rPr>
          <w:color w:val="000000"/>
          <w:lang w:val="it-IT"/>
        </w:rPr>
        <w:t>T. 02 89077160 – M. 340 1044227</w:t>
      </w:r>
    </w:p>
    <w:p w14:paraId="07DFA815" w14:textId="147BDA42" w:rsidR="00497C73" w:rsidRPr="0094627F" w:rsidRDefault="00497C73" w:rsidP="00AB47B5">
      <w:pPr>
        <w:jc w:val="both"/>
        <w:rPr>
          <w:lang w:val="it-IT"/>
        </w:rPr>
      </w:pPr>
    </w:p>
    <w:sectPr w:rsidR="00497C73" w:rsidRPr="0094627F" w:rsidSect="00360D01">
      <w:headerReference w:type="even" r:id="rId11"/>
      <w:headerReference w:type="default" r:id="rId12"/>
      <w:footerReference w:type="even" r:id="rId13"/>
      <w:footerReference w:type="default" r:id="rId14"/>
      <w:headerReference w:type="first" r:id="rId15"/>
      <w:footerReference w:type="first" r:id="rId16"/>
      <w:pgSz w:w="11906" w:h="16838"/>
      <w:pgMar w:top="1508" w:right="851" w:bottom="1985" w:left="851" w:header="567" w:footer="7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F62B9" w14:textId="77777777" w:rsidR="003B5763" w:rsidRDefault="003B5763">
      <w:pPr>
        <w:spacing w:line="240" w:lineRule="auto"/>
      </w:pPr>
      <w:r>
        <w:separator/>
      </w:r>
    </w:p>
  </w:endnote>
  <w:endnote w:type="continuationSeparator" w:id="0">
    <w:p w14:paraId="6EE7FD71" w14:textId="77777777" w:rsidR="003B5763" w:rsidRDefault="003B5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8CF5E" w14:textId="77777777" w:rsidR="00AA6127" w:rsidRDefault="00AA612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D887B" w14:textId="77777777" w:rsidR="002F117C" w:rsidRDefault="002F117C">
    <w:pPr>
      <w:widowControl w:val="0"/>
      <w:pBdr>
        <w:top w:val="nil"/>
        <w:left w:val="nil"/>
        <w:bottom w:val="nil"/>
        <w:right w:val="nil"/>
        <w:between w:val="nil"/>
      </w:pBdr>
      <w:rPr>
        <w:color w:val="626366"/>
        <w:sz w:val="2"/>
        <w:szCs w:val="2"/>
      </w:rPr>
    </w:pPr>
  </w:p>
  <w:tbl>
    <w:tblPr>
      <w:tblStyle w:val="a1"/>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F117C" w14:paraId="609574C7" w14:textId="77777777">
      <w:tc>
        <w:tcPr>
          <w:tcW w:w="4374" w:type="dxa"/>
        </w:tcPr>
        <w:p w14:paraId="4769898F" w14:textId="77777777" w:rsidR="002F117C" w:rsidRDefault="00B66A89">
          <w:pPr>
            <w:spacing w:before="60" w:line="240" w:lineRule="auto"/>
          </w:pPr>
          <w:r>
            <w:rPr>
              <w:noProof/>
            </w:rPr>
            <w:drawing>
              <wp:inline distT="0" distB="0" distL="0" distR="0" wp14:anchorId="0D6A90B7" wp14:editId="4C3E79C5">
                <wp:extent cx="1044000" cy="1926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36CF199A" w14:textId="482F1013" w:rsidR="002F117C" w:rsidRDefault="00360D01">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4215FCF1" w14:textId="77777777" w:rsidR="002F117C" w:rsidRDefault="00B66A89">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CD1B20">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CD1B20">
            <w:rPr>
              <w:noProof/>
              <w:color w:val="003DA5"/>
              <w:sz w:val="13"/>
              <w:szCs w:val="13"/>
            </w:rPr>
            <w:t>3</w:t>
          </w:r>
          <w:r>
            <w:rPr>
              <w:color w:val="003DA5"/>
              <w:sz w:val="13"/>
              <w:szCs w:val="13"/>
            </w:rPr>
            <w:fldChar w:fldCharType="end"/>
          </w:r>
        </w:p>
      </w:tc>
    </w:tr>
  </w:tbl>
  <w:p w14:paraId="60ADDE38" w14:textId="77777777" w:rsidR="002F117C" w:rsidRDefault="002F117C">
    <w:pPr>
      <w:pBdr>
        <w:top w:val="nil"/>
        <w:left w:val="nil"/>
        <w:bottom w:val="nil"/>
        <w:right w:val="nil"/>
        <w:between w:val="nil"/>
      </w:pBdr>
      <w:spacing w:line="240" w:lineRule="auto"/>
      <w:rPr>
        <w:color w:val="626366"/>
        <w:sz w:val="2"/>
        <w:szCs w:val="2"/>
      </w:rPr>
    </w:pPr>
  </w:p>
  <w:p w14:paraId="0779B364" w14:textId="77777777" w:rsidR="00546768" w:rsidRDefault="005467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711D5" w14:textId="77777777" w:rsidR="002F117C" w:rsidRDefault="002F117C">
    <w:pPr>
      <w:widowControl w:val="0"/>
      <w:pBdr>
        <w:top w:val="nil"/>
        <w:left w:val="nil"/>
        <w:bottom w:val="nil"/>
        <w:right w:val="nil"/>
        <w:between w:val="nil"/>
      </w:pBdr>
      <w:rPr>
        <w:b/>
        <w:smallCaps/>
        <w:color w:val="003DA5"/>
      </w:rPr>
    </w:pPr>
  </w:p>
  <w:tbl>
    <w:tblPr>
      <w:tblStyle w:val="a0"/>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F117C" w14:paraId="1E849A5C" w14:textId="77777777">
      <w:tc>
        <w:tcPr>
          <w:tcW w:w="4374" w:type="dxa"/>
        </w:tcPr>
        <w:p w14:paraId="4753CC8C" w14:textId="77777777" w:rsidR="002F117C" w:rsidRDefault="00B66A89">
          <w:pPr>
            <w:spacing w:before="60" w:line="240" w:lineRule="auto"/>
          </w:pPr>
          <w:r>
            <w:rPr>
              <w:noProof/>
            </w:rPr>
            <w:drawing>
              <wp:inline distT="0" distB="0" distL="0" distR="0" wp14:anchorId="0DD8DDF3" wp14:editId="53C77E0E">
                <wp:extent cx="1044000" cy="1926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74DAF903" w14:textId="387C9528" w:rsidR="002F117C" w:rsidRDefault="00AC2100">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0F8FE659" w14:textId="77777777" w:rsidR="002F117C" w:rsidRDefault="00B66A89">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CD1B20">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CD1B20">
            <w:rPr>
              <w:noProof/>
              <w:color w:val="003DA5"/>
              <w:sz w:val="13"/>
              <w:szCs w:val="13"/>
            </w:rPr>
            <w:t>2</w:t>
          </w:r>
          <w:r>
            <w:rPr>
              <w:color w:val="003DA5"/>
              <w:sz w:val="13"/>
              <w:szCs w:val="13"/>
            </w:rPr>
            <w:fldChar w:fldCharType="end"/>
          </w:r>
        </w:p>
      </w:tc>
    </w:tr>
  </w:tbl>
  <w:p w14:paraId="60226D79" w14:textId="77777777" w:rsidR="002F117C" w:rsidRDefault="002F117C">
    <w:pPr>
      <w:pBdr>
        <w:top w:val="nil"/>
        <w:left w:val="nil"/>
        <w:bottom w:val="nil"/>
        <w:right w:val="nil"/>
        <w:between w:val="nil"/>
      </w:pBdr>
      <w:spacing w:line="240" w:lineRule="auto"/>
      <w:rPr>
        <w:color w:val="626366"/>
        <w:sz w:val="2"/>
        <w:szCs w:val="2"/>
      </w:rPr>
    </w:pPr>
  </w:p>
  <w:p w14:paraId="3562DBAC" w14:textId="77777777" w:rsidR="00546768" w:rsidRDefault="005467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9380A" w14:textId="77777777" w:rsidR="003B5763" w:rsidRDefault="003B5763">
      <w:pPr>
        <w:spacing w:line="240" w:lineRule="auto"/>
      </w:pPr>
      <w:r>
        <w:separator/>
      </w:r>
    </w:p>
  </w:footnote>
  <w:footnote w:type="continuationSeparator" w:id="0">
    <w:p w14:paraId="7A46BD10" w14:textId="77777777" w:rsidR="003B5763" w:rsidRDefault="003B57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D06BE" w14:textId="77777777" w:rsidR="00AA6127" w:rsidRDefault="00AA61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3B230"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58CB0BFD"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5ABD9E69" w14:textId="77777777" w:rsidR="00A45EF2" w:rsidRDefault="00A45EF2" w:rsidP="009B3A8A">
    <w:pPr>
      <w:pBdr>
        <w:top w:val="nil"/>
        <w:left w:val="nil"/>
        <w:bottom w:val="nil"/>
        <w:right w:val="nil"/>
        <w:between w:val="nil"/>
      </w:pBdr>
      <w:spacing w:line="204" w:lineRule="auto"/>
      <w:ind w:right="1418"/>
      <w:rPr>
        <w:b/>
        <w:color w:val="003DA5"/>
        <w:sz w:val="40"/>
        <w:szCs w:val="40"/>
        <w:lang w:val="it-IT"/>
      </w:rPr>
    </w:pPr>
  </w:p>
  <w:p w14:paraId="498EF941" w14:textId="3773038E" w:rsidR="009B3A8A" w:rsidRPr="00327491" w:rsidRDefault="00B66A89" w:rsidP="009B3A8A">
    <w:pPr>
      <w:pBdr>
        <w:top w:val="nil"/>
        <w:left w:val="nil"/>
        <w:bottom w:val="nil"/>
        <w:right w:val="nil"/>
        <w:between w:val="nil"/>
      </w:pBdr>
      <w:spacing w:line="204" w:lineRule="auto"/>
      <w:ind w:right="1418"/>
      <w:rPr>
        <w:b/>
        <w:color w:val="003DA5"/>
        <w:sz w:val="40"/>
        <w:szCs w:val="40"/>
        <w:lang w:val="it-IT"/>
      </w:rPr>
    </w:pPr>
    <w:r>
      <w:rPr>
        <w:b/>
        <w:smallCaps/>
        <w:noProof/>
        <w:color w:val="003DA5"/>
      </w:rPr>
      <w:drawing>
        <wp:anchor distT="0" distB="0" distL="0" distR="0" simplePos="0" relativeHeight="251658240" behindDoc="1" locked="0" layoutInCell="1" hidden="0" allowOverlap="1" wp14:anchorId="0E65223E" wp14:editId="58DF6676">
          <wp:simplePos x="0" y="0"/>
          <wp:positionH relativeFrom="page">
            <wp:posOffset>5832475</wp:posOffset>
          </wp:positionH>
          <wp:positionV relativeFrom="page">
            <wp:posOffset>334645</wp:posOffset>
          </wp:positionV>
          <wp:extent cx="1270800" cy="16128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009B3A8A" w:rsidRPr="00327491">
      <w:rPr>
        <w:b/>
        <w:color w:val="003DA5"/>
        <w:sz w:val="40"/>
        <w:szCs w:val="40"/>
        <w:lang w:val="it-IT"/>
      </w:rPr>
      <w:t xml:space="preserve">Comunicato </w:t>
    </w:r>
  </w:p>
  <w:p w14:paraId="2ADAABA9" w14:textId="33A904E8" w:rsidR="002F117C" w:rsidRPr="00A45EF2" w:rsidRDefault="009B3A8A" w:rsidP="00A45EF2">
    <w:pPr>
      <w:pBdr>
        <w:top w:val="nil"/>
        <w:left w:val="nil"/>
        <w:bottom w:val="nil"/>
        <w:right w:val="nil"/>
        <w:between w:val="nil"/>
      </w:pBdr>
      <w:spacing w:after="680" w:line="204" w:lineRule="auto"/>
      <w:ind w:right="1418"/>
      <w:rPr>
        <w:b/>
        <w:smallCaps/>
        <w:color w:val="003DA5"/>
        <w:highlight w:val="yellow"/>
      </w:rPr>
    </w:pPr>
    <w:r w:rsidRPr="00327491">
      <w:rPr>
        <w:b/>
        <w:color w:val="DC1C2E"/>
        <w:sz w:val="40"/>
        <w:szCs w:val="40"/>
        <w:lang w:val="it-IT"/>
      </w:rPr>
      <w:t>Stam</w:t>
    </w:r>
    <w:r>
      <w:rPr>
        <w:b/>
        <w:color w:val="DC1C2E"/>
        <w:sz w:val="40"/>
        <w:szCs w:val="40"/>
        <w:lang w:val="it-IT"/>
      </w:rPr>
      <w:t>pa</w:t>
    </w:r>
  </w:p>
  <w:p w14:paraId="317EE13D" w14:textId="77777777" w:rsidR="00546768" w:rsidRDefault="005467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9D505" w14:textId="22957C78" w:rsidR="002F117C" w:rsidRPr="00FD4052" w:rsidRDefault="00B66A89">
    <w:pPr>
      <w:pBdr>
        <w:top w:val="nil"/>
        <w:left w:val="nil"/>
        <w:bottom w:val="nil"/>
        <w:right w:val="nil"/>
        <w:between w:val="nil"/>
      </w:pBdr>
      <w:tabs>
        <w:tab w:val="center" w:pos="4536"/>
        <w:tab w:val="right" w:pos="9356"/>
      </w:tabs>
      <w:rPr>
        <w:b/>
        <w:smallCaps/>
        <w:color w:val="003DA5"/>
        <w:lang w:val="it-IT"/>
      </w:rPr>
    </w:pPr>
    <w:r w:rsidRPr="005C4361">
      <w:rPr>
        <w:b/>
        <w:smallCaps/>
        <w:noProof/>
        <w:color w:val="003DA5"/>
      </w:rPr>
      <w:drawing>
        <wp:anchor distT="0" distB="0" distL="0" distR="0" simplePos="0" relativeHeight="251659264" behindDoc="1" locked="0" layoutInCell="1" hidden="0" allowOverlap="1" wp14:anchorId="13D26ABD" wp14:editId="0A5584EB">
          <wp:simplePos x="0" y="0"/>
          <wp:positionH relativeFrom="page">
            <wp:posOffset>5832475</wp:posOffset>
          </wp:positionH>
          <wp:positionV relativeFrom="page">
            <wp:posOffset>334645</wp:posOffset>
          </wp:positionV>
          <wp:extent cx="1270800" cy="16128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005C4361" w:rsidRPr="00FD4052">
      <w:rPr>
        <w:b/>
        <w:smallCaps/>
        <w:color w:val="003DA5"/>
        <w:lang w:val="it-IT"/>
      </w:rPr>
      <w:t>Milano</w:t>
    </w:r>
    <w:r w:rsidRPr="00FD4052">
      <w:rPr>
        <w:b/>
        <w:smallCaps/>
        <w:color w:val="003DA5"/>
        <w:lang w:val="it-IT"/>
      </w:rPr>
      <w:t xml:space="preserve">, </w:t>
    </w:r>
    <w:r w:rsidR="00AA6127">
      <w:rPr>
        <w:b/>
        <w:smallCaps/>
        <w:color w:val="003DA5"/>
        <w:lang w:val="it-IT"/>
      </w:rPr>
      <w:t>25</w:t>
    </w:r>
    <w:bookmarkStart w:id="1" w:name="_GoBack"/>
    <w:bookmarkEnd w:id="1"/>
    <w:r w:rsidR="00305898" w:rsidRPr="00FD4052">
      <w:rPr>
        <w:b/>
        <w:smallCaps/>
        <w:color w:val="003DA5"/>
        <w:lang w:val="it-IT"/>
      </w:rPr>
      <w:t xml:space="preserve"> </w:t>
    </w:r>
    <w:r w:rsidR="00FD4052" w:rsidRPr="00FD4052">
      <w:rPr>
        <w:b/>
        <w:smallCaps/>
        <w:color w:val="003DA5"/>
        <w:lang w:val="it-IT"/>
      </w:rPr>
      <w:t>maggio</w:t>
    </w:r>
    <w:r w:rsidR="004D2E48" w:rsidRPr="00FD4052">
      <w:rPr>
        <w:b/>
        <w:smallCaps/>
        <w:color w:val="003DA5"/>
        <w:lang w:val="it-IT"/>
      </w:rPr>
      <w:t xml:space="preserve"> 2023</w:t>
    </w:r>
  </w:p>
  <w:p w14:paraId="38B10E62" w14:textId="7B8188F5" w:rsidR="009B3A8A" w:rsidRPr="00FD4052" w:rsidRDefault="009B3A8A">
    <w:pPr>
      <w:pBdr>
        <w:top w:val="nil"/>
        <w:left w:val="nil"/>
        <w:bottom w:val="nil"/>
        <w:right w:val="nil"/>
        <w:between w:val="nil"/>
      </w:pBdr>
      <w:tabs>
        <w:tab w:val="center" w:pos="4536"/>
        <w:tab w:val="right" w:pos="9356"/>
      </w:tabs>
      <w:rPr>
        <w:b/>
        <w:smallCaps/>
        <w:color w:val="003DA5"/>
        <w:lang w:val="it-IT"/>
      </w:rPr>
    </w:pPr>
  </w:p>
  <w:p w14:paraId="33702A86" w14:textId="711C128B" w:rsidR="009B3A8A" w:rsidRPr="00FD4052" w:rsidRDefault="009B3A8A">
    <w:pPr>
      <w:pBdr>
        <w:top w:val="nil"/>
        <w:left w:val="nil"/>
        <w:bottom w:val="nil"/>
        <w:right w:val="nil"/>
        <w:between w:val="nil"/>
      </w:pBdr>
      <w:tabs>
        <w:tab w:val="center" w:pos="4536"/>
        <w:tab w:val="right" w:pos="9356"/>
      </w:tabs>
      <w:rPr>
        <w:b/>
        <w:smallCaps/>
        <w:color w:val="003DA5"/>
        <w:lang w:val="it-IT"/>
      </w:rPr>
    </w:pPr>
  </w:p>
  <w:p w14:paraId="5D0063B8" w14:textId="127C0276" w:rsidR="009B3A8A" w:rsidRPr="00FD4052" w:rsidRDefault="009B3A8A">
    <w:pPr>
      <w:pBdr>
        <w:top w:val="nil"/>
        <w:left w:val="nil"/>
        <w:bottom w:val="nil"/>
        <w:right w:val="nil"/>
        <w:between w:val="nil"/>
      </w:pBdr>
      <w:tabs>
        <w:tab w:val="center" w:pos="4536"/>
        <w:tab w:val="right" w:pos="9356"/>
      </w:tabs>
      <w:rPr>
        <w:b/>
        <w:smallCaps/>
        <w:color w:val="003DA5"/>
        <w:lang w:val="it-IT"/>
      </w:rPr>
    </w:pPr>
  </w:p>
  <w:p w14:paraId="3A771959" w14:textId="061432D1" w:rsidR="009B3A8A" w:rsidRPr="00FD4052" w:rsidRDefault="009B3A8A">
    <w:pPr>
      <w:pBdr>
        <w:top w:val="nil"/>
        <w:left w:val="nil"/>
        <w:bottom w:val="nil"/>
        <w:right w:val="nil"/>
        <w:between w:val="nil"/>
      </w:pBdr>
      <w:tabs>
        <w:tab w:val="center" w:pos="4536"/>
        <w:tab w:val="right" w:pos="9356"/>
      </w:tabs>
      <w:rPr>
        <w:b/>
        <w:smallCaps/>
        <w:color w:val="003DA5"/>
        <w:lang w:val="it-IT"/>
      </w:rPr>
    </w:pPr>
  </w:p>
  <w:p w14:paraId="319E64FF" w14:textId="77777777" w:rsidR="009B3A8A" w:rsidRPr="00327491" w:rsidRDefault="009B3A8A" w:rsidP="009B3A8A">
    <w:pPr>
      <w:pBdr>
        <w:top w:val="nil"/>
        <w:left w:val="nil"/>
        <w:bottom w:val="nil"/>
        <w:right w:val="nil"/>
        <w:between w:val="nil"/>
      </w:pBdr>
      <w:spacing w:line="204" w:lineRule="auto"/>
      <w:ind w:right="1418"/>
      <w:rPr>
        <w:b/>
        <w:color w:val="003DA5"/>
        <w:sz w:val="40"/>
        <w:szCs w:val="40"/>
        <w:lang w:val="it-IT"/>
      </w:rPr>
    </w:pPr>
    <w:r w:rsidRPr="00327491">
      <w:rPr>
        <w:b/>
        <w:color w:val="003DA5"/>
        <w:sz w:val="40"/>
        <w:szCs w:val="40"/>
        <w:lang w:val="it-IT"/>
      </w:rPr>
      <w:t xml:space="preserve">Comunicato </w:t>
    </w:r>
  </w:p>
  <w:p w14:paraId="31DE20D5" w14:textId="2A9E35A0" w:rsidR="009B3A8A" w:rsidRPr="00FD4052" w:rsidRDefault="009B3A8A" w:rsidP="009B3A8A">
    <w:pPr>
      <w:pBdr>
        <w:top w:val="nil"/>
        <w:left w:val="nil"/>
        <w:bottom w:val="nil"/>
        <w:right w:val="nil"/>
        <w:between w:val="nil"/>
      </w:pBdr>
      <w:spacing w:after="680" w:line="204" w:lineRule="auto"/>
      <w:ind w:right="1418"/>
      <w:rPr>
        <w:b/>
        <w:smallCaps/>
        <w:color w:val="003DA5"/>
        <w:highlight w:val="yellow"/>
        <w:lang w:val="it-IT"/>
      </w:rPr>
    </w:pPr>
    <w:r w:rsidRPr="00327491">
      <w:rPr>
        <w:b/>
        <w:color w:val="DC1C2E"/>
        <w:sz w:val="40"/>
        <w:szCs w:val="40"/>
        <w:lang w:val="it-IT"/>
      </w:rPr>
      <w:t>Stam</w:t>
    </w:r>
    <w:r>
      <w:rPr>
        <w:b/>
        <w:color w:val="DC1C2E"/>
        <w:sz w:val="40"/>
        <w:szCs w:val="40"/>
        <w:lang w:val="it-IT"/>
      </w:rPr>
      <w:t>pa</w:t>
    </w:r>
  </w:p>
  <w:p w14:paraId="172A3EAB" w14:textId="77777777" w:rsidR="00546768" w:rsidRPr="00FD4052" w:rsidRDefault="00546768">
    <w:pP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7C"/>
    <w:rsid w:val="000143CC"/>
    <w:rsid w:val="00017714"/>
    <w:rsid w:val="00034668"/>
    <w:rsid w:val="00073D84"/>
    <w:rsid w:val="000830C5"/>
    <w:rsid w:val="000A5DFF"/>
    <w:rsid w:val="000A6FED"/>
    <w:rsid w:val="000C0A2D"/>
    <w:rsid w:val="000C6AC2"/>
    <w:rsid w:val="000C7C94"/>
    <w:rsid w:val="000E4974"/>
    <w:rsid w:val="000F1288"/>
    <w:rsid w:val="00100F88"/>
    <w:rsid w:val="00101B62"/>
    <w:rsid w:val="001077B9"/>
    <w:rsid w:val="001973FB"/>
    <w:rsid w:val="001D2F67"/>
    <w:rsid w:val="001F512E"/>
    <w:rsid w:val="002138D1"/>
    <w:rsid w:val="00225059"/>
    <w:rsid w:val="00250C9A"/>
    <w:rsid w:val="00250CCE"/>
    <w:rsid w:val="00273D8E"/>
    <w:rsid w:val="002F117C"/>
    <w:rsid w:val="002F5B5E"/>
    <w:rsid w:val="00305847"/>
    <w:rsid w:val="00305898"/>
    <w:rsid w:val="00327491"/>
    <w:rsid w:val="0033010E"/>
    <w:rsid w:val="00360D01"/>
    <w:rsid w:val="00363520"/>
    <w:rsid w:val="0036364F"/>
    <w:rsid w:val="003B5763"/>
    <w:rsid w:val="003B6575"/>
    <w:rsid w:val="003B684D"/>
    <w:rsid w:val="003C2299"/>
    <w:rsid w:val="003F42E8"/>
    <w:rsid w:val="004321E4"/>
    <w:rsid w:val="00446D88"/>
    <w:rsid w:val="00456105"/>
    <w:rsid w:val="0047005C"/>
    <w:rsid w:val="004708E0"/>
    <w:rsid w:val="004739D5"/>
    <w:rsid w:val="00485C2E"/>
    <w:rsid w:val="004971DF"/>
    <w:rsid w:val="00497C73"/>
    <w:rsid w:val="004A53FB"/>
    <w:rsid w:val="004B53BD"/>
    <w:rsid w:val="004D1082"/>
    <w:rsid w:val="004D2E48"/>
    <w:rsid w:val="004E3F33"/>
    <w:rsid w:val="00511FE8"/>
    <w:rsid w:val="00544618"/>
    <w:rsid w:val="00545A29"/>
    <w:rsid w:val="00546768"/>
    <w:rsid w:val="00567423"/>
    <w:rsid w:val="00574F89"/>
    <w:rsid w:val="005B34CE"/>
    <w:rsid w:val="005C4361"/>
    <w:rsid w:val="005D5E54"/>
    <w:rsid w:val="006017CE"/>
    <w:rsid w:val="00606AD0"/>
    <w:rsid w:val="00675E8F"/>
    <w:rsid w:val="006B2B60"/>
    <w:rsid w:val="006D0FBE"/>
    <w:rsid w:val="006E7827"/>
    <w:rsid w:val="006F576A"/>
    <w:rsid w:val="006F5A92"/>
    <w:rsid w:val="0071091D"/>
    <w:rsid w:val="0071716E"/>
    <w:rsid w:val="007177C3"/>
    <w:rsid w:val="00722ADB"/>
    <w:rsid w:val="00747E63"/>
    <w:rsid w:val="00760F61"/>
    <w:rsid w:val="00762A93"/>
    <w:rsid w:val="0076722F"/>
    <w:rsid w:val="00797EBF"/>
    <w:rsid w:val="007A2205"/>
    <w:rsid w:val="007A7896"/>
    <w:rsid w:val="007D171F"/>
    <w:rsid w:val="007F7B83"/>
    <w:rsid w:val="008123A4"/>
    <w:rsid w:val="008305D5"/>
    <w:rsid w:val="00847BD2"/>
    <w:rsid w:val="00855BC2"/>
    <w:rsid w:val="00864549"/>
    <w:rsid w:val="00876A94"/>
    <w:rsid w:val="00883146"/>
    <w:rsid w:val="008C3789"/>
    <w:rsid w:val="008C7085"/>
    <w:rsid w:val="008D4910"/>
    <w:rsid w:val="008F6823"/>
    <w:rsid w:val="00924D4A"/>
    <w:rsid w:val="0093192F"/>
    <w:rsid w:val="00936439"/>
    <w:rsid w:val="00937BE2"/>
    <w:rsid w:val="00942744"/>
    <w:rsid w:val="0094627F"/>
    <w:rsid w:val="00954BD2"/>
    <w:rsid w:val="009569D2"/>
    <w:rsid w:val="009732E6"/>
    <w:rsid w:val="00984596"/>
    <w:rsid w:val="009B3A8A"/>
    <w:rsid w:val="009B62B0"/>
    <w:rsid w:val="009F35FC"/>
    <w:rsid w:val="00A074E1"/>
    <w:rsid w:val="00A27A44"/>
    <w:rsid w:val="00A413F7"/>
    <w:rsid w:val="00A4326A"/>
    <w:rsid w:val="00A45EF2"/>
    <w:rsid w:val="00AA1331"/>
    <w:rsid w:val="00AA6127"/>
    <w:rsid w:val="00AA65FA"/>
    <w:rsid w:val="00AB47B5"/>
    <w:rsid w:val="00AC2100"/>
    <w:rsid w:val="00AC7FDD"/>
    <w:rsid w:val="00AE3089"/>
    <w:rsid w:val="00AF34F3"/>
    <w:rsid w:val="00B00E51"/>
    <w:rsid w:val="00B124FA"/>
    <w:rsid w:val="00B21457"/>
    <w:rsid w:val="00B66A89"/>
    <w:rsid w:val="00B962FA"/>
    <w:rsid w:val="00BA226B"/>
    <w:rsid w:val="00BA61FF"/>
    <w:rsid w:val="00BA63C4"/>
    <w:rsid w:val="00C212C7"/>
    <w:rsid w:val="00C23CD6"/>
    <w:rsid w:val="00C34F34"/>
    <w:rsid w:val="00C6179A"/>
    <w:rsid w:val="00C774A0"/>
    <w:rsid w:val="00C80130"/>
    <w:rsid w:val="00C96CA3"/>
    <w:rsid w:val="00CA02C4"/>
    <w:rsid w:val="00CD1B20"/>
    <w:rsid w:val="00CD4386"/>
    <w:rsid w:val="00CF2A5A"/>
    <w:rsid w:val="00D14F90"/>
    <w:rsid w:val="00D41FE2"/>
    <w:rsid w:val="00D901E7"/>
    <w:rsid w:val="00DA742D"/>
    <w:rsid w:val="00DF6CD5"/>
    <w:rsid w:val="00E06583"/>
    <w:rsid w:val="00E1405A"/>
    <w:rsid w:val="00E23BE9"/>
    <w:rsid w:val="00E43DFF"/>
    <w:rsid w:val="00E47E25"/>
    <w:rsid w:val="00E770A9"/>
    <w:rsid w:val="00EB50B8"/>
    <w:rsid w:val="00ED7D99"/>
    <w:rsid w:val="00F02867"/>
    <w:rsid w:val="00F03277"/>
    <w:rsid w:val="00F04211"/>
    <w:rsid w:val="00F2057C"/>
    <w:rsid w:val="00F513EB"/>
    <w:rsid w:val="00F52EBC"/>
    <w:rsid w:val="00F64297"/>
    <w:rsid w:val="00F66202"/>
    <w:rsid w:val="00F67BD2"/>
    <w:rsid w:val="00F7182C"/>
    <w:rsid w:val="00F802FE"/>
    <w:rsid w:val="00FA2A8C"/>
    <w:rsid w:val="00FD40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ACA5B68"/>
  <w15:docId w15:val="{BF2D39D3-885D-4977-8E36-6DC487C6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80"/>
      <w:outlineLvl w:val="0"/>
    </w:pPr>
    <w:rPr>
      <w:b/>
      <w:color w:val="004A99"/>
      <w:sz w:val="22"/>
      <w:szCs w:val="22"/>
    </w:rPr>
  </w:style>
  <w:style w:type="paragraph" w:styleId="Titolo2">
    <w:name w:val="heading 2"/>
    <w:basedOn w:val="Normale"/>
    <w:next w:val="Normale"/>
    <w:uiPriority w:val="9"/>
    <w:semiHidden/>
    <w:unhideWhenUsed/>
    <w:qFormat/>
    <w:pPr>
      <w:keepNext/>
      <w:keepLines/>
      <w:spacing w:before="240"/>
      <w:outlineLvl w:val="1"/>
    </w:pPr>
    <w:rPr>
      <w:b/>
      <w:color w:val="004A99"/>
    </w:rPr>
  </w:style>
  <w:style w:type="paragraph" w:styleId="Titolo3">
    <w:name w:val="heading 3"/>
    <w:basedOn w:val="Normale"/>
    <w:next w:val="Normale"/>
    <w:uiPriority w:val="9"/>
    <w:semiHidden/>
    <w:unhideWhenUsed/>
    <w:qFormat/>
    <w:pPr>
      <w:keepNext/>
      <w:keepLines/>
      <w:spacing w:before="240"/>
      <w:outlineLvl w:val="2"/>
    </w:pPr>
    <w:rPr>
      <w:b/>
      <w:color w:val="007DC3"/>
    </w:rPr>
  </w:style>
  <w:style w:type="paragraph" w:styleId="Titolo4">
    <w:name w:val="heading 4"/>
    <w:basedOn w:val="Normale"/>
    <w:next w:val="Normale"/>
    <w:uiPriority w:val="9"/>
    <w:semiHidden/>
    <w:unhideWhenUsed/>
    <w:qFormat/>
    <w:pPr>
      <w:keepNext/>
      <w:keepLines/>
      <w:spacing w:before="240" w:after="120"/>
      <w:ind w:left="864" w:hanging="864"/>
      <w:outlineLvl w:val="3"/>
    </w:pPr>
    <w:rPr>
      <w:b/>
      <w:color w:val="404041"/>
    </w:rPr>
  </w:style>
  <w:style w:type="paragraph" w:styleId="Titolo5">
    <w:name w:val="heading 5"/>
    <w:basedOn w:val="Normale"/>
    <w:next w:val="Normale"/>
    <w:uiPriority w:val="9"/>
    <w:semiHidden/>
    <w:unhideWhenUsed/>
    <w:qFormat/>
    <w:pPr>
      <w:keepNext/>
      <w:keepLines/>
      <w:spacing w:before="200"/>
      <w:ind w:left="1008" w:hanging="1008"/>
      <w:outlineLvl w:val="4"/>
    </w:pPr>
    <w:rPr>
      <w:color w:val="6D0D16"/>
    </w:rPr>
  </w:style>
  <w:style w:type="paragraph" w:styleId="Titolo6">
    <w:name w:val="heading 6"/>
    <w:basedOn w:val="Normale"/>
    <w:next w:val="Normale"/>
    <w:uiPriority w:val="9"/>
    <w:semiHidden/>
    <w:unhideWhenUsed/>
    <w:qFormat/>
    <w:pPr>
      <w:keepNext/>
      <w:keepLines/>
      <w:spacing w:before="200"/>
      <w:ind w:left="1152" w:hanging="1152"/>
      <w:outlineLvl w:val="5"/>
    </w:pPr>
    <w:rPr>
      <w:i/>
      <w:color w:val="6D0D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spacing w:before="1560" w:line="240" w:lineRule="auto"/>
    </w:pPr>
    <w:rPr>
      <w:b/>
      <w:color w:val="DB0812"/>
      <w:sz w:val="74"/>
      <w:szCs w:val="74"/>
    </w:rPr>
  </w:style>
  <w:style w:type="paragraph" w:styleId="Sottotitolo">
    <w:name w:val="Subtitle"/>
    <w:basedOn w:val="Normale"/>
    <w:next w:val="Normale"/>
    <w:uiPriority w:val="11"/>
    <w:qFormat/>
    <w:pPr>
      <w:spacing w:line="240" w:lineRule="auto"/>
    </w:pPr>
    <w:rPr>
      <w:b/>
      <w:color w:val="004A99"/>
      <w:sz w:val="74"/>
      <w:szCs w:val="74"/>
    </w:rPr>
  </w:style>
  <w:style w:type="table" w:customStyle="1" w:styleId="a">
    <w:basedOn w:val="Tabellanormale"/>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85" w:type="dxa"/>
        <w:left w:w="0" w:type="dxa"/>
        <w:bottom w:w="57" w:type="dxa"/>
        <w:right w:w="0" w:type="dxa"/>
      </w:tblCellMar>
    </w:tblPr>
  </w:style>
  <w:style w:type="table" w:customStyle="1" w:styleId="a1">
    <w:basedOn w:val="Tabellanormale"/>
    <w:tblPr>
      <w:tblStyleRowBandSize w:val="1"/>
      <w:tblStyleColBandSize w:val="1"/>
      <w:tblCellMar>
        <w:top w:w="85" w:type="dxa"/>
        <w:left w:w="0" w:type="dxa"/>
        <w:bottom w:w="57" w:type="dxa"/>
        <w:right w:w="0" w:type="dxa"/>
      </w:tblCellMar>
    </w:tblPr>
  </w:style>
  <w:style w:type="table" w:styleId="Grigliatabella">
    <w:name w:val="Table Grid"/>
    <w:basedOn w:val="Tabellanormale"/>
    <w:uiPriority w:val="39"/>
    <w:rsid w:val="00CD1B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C436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C4361"/>
  </w:style>
  <w:style w:type="paragraph" w:styleId="Pidipagina">
    <w:name w:val="footer"/>
    <w:basedOn w:val="Normale"/>
    <w:link w:val="PidipaginaCarattere"/>
    <w:uiPriority w:val="99"/>
    <w:unhideWhenUsed/>
    <w:rsid w:val="005C436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C4361"/>
  </w:style>
  <w:style w:type="paragraph" w:styleId="Testofumetto">
    <w:name w:val="Balloon Text"/>
    <w:basedOn w:val="Normale"/>
    <w:link w:val="TestofumettoCarattere"/>
    <w:uiPriority w:val="99"/>
    <w:semiHidden/>
    <w:unhideWhenUsed/>
    <w:rsid w:val="005C436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4361"/>
    <w:rPr>
      <w:rFonts w:ascii="Segoe UI" w:hAnsi="Segoe UI" w:cs="Segoe UI"/>
      <w:sz w:val="18"/>
      <w:szCs w:val="18"/>
    </w:rPr>
  </w:style>
  <w:style w:type="paragraph" w:styleId="Corpotesto">
    <w:name w:val="Body Text"/>
    <w:basedOn w:val="Normale"/>
    <w:link w:val="CorpotestoCarattere"/>
    <w:uiPriority w:val="1"/>
    <w:qFormat/>
    <w:rsid w:val="00855BC2"/>
    <w:pPr>
      <w:widowControl w:val="0"/>
      <w:autoSpaceDE w:val="0"/>
      <w:autoSpaceDN w:val="0"/>
      <w:spacing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855BC2"/>
    <w:rPr>
      <w:rFonts w:ascii="Arial MT" w:eastAsia="Arial MT" w:hAnsi="Arial MT" w:cs="Arial MT"/>
    </w:rPr>
  </w:style>
  <w:style w:type="paragraph" w:customStyle="1" w:styleId="TableParagraph">
    <w:name w:val="Table Paragraph"/>
    <w:basedOn w:val="Normale"/>
    <w:uiPriority w:val="1"/>
    <w:qFormat/>
    <w:rsid w:val="00855BC2"/>
    <w:pPr>
      <w:widowControl w:val="0"/>
      <w:autoSpaceDE w:val="0"/>
      <w:autoSpaceDN w:val="0"/>
      <w:spacing w:before="54" w:line="240" w:lineRule="auto"/>
      <w:jc w:val="right"/>
    </w:pPr>
    <w:rPr>
      <w:sz w:val="22"/>
      <w:szCs w:val="22"/>
    </w:rPr>
  </w:style>
  <w:style w:type="paragraph" w:customStyle="1" w:styleId="Default">
    <w:name w:val="Default"/>
    <w:rsid w:val="00855BC2"/>
    <w:pPr>
      <w:autoSpaceDE w:val="0"/>
      <w:autoSpaceDN w:val="0"/>
      <w:adjustRightInd w:val="0"/>
      <w:spacing w:line="240" w:lineRule="auto"/>
    </w:pPr>
    <w:rPr>
      <w:rFonts w:ascii="Calibri" w:eastAsiaTheme="minorHAnsi" w:hAnsi="Calibri" w:cs="Calibri"/>
      <w:color w:val="000000"/>
      <w:sz w:val="24"/>
      <w:szCs w:val="24"/>
      <w:lang w:val="it-IT"/>
    </w:rPr>
  </w:style>
  <w:style w:type="paragraph" w:styleId="Testonormale">
    <w:name w:val="Plain Text"/>
    <w:basedOn w:val="Normale"/>
    <w:link w:val="TestonormaleCarattere"/>
    <w:uiPriority w:val="99"/>
    <w:unhideWhenUsed/>
    <w:rsid w:val="00855BC2"/>
    <w:pPr>
      <w:spacing w:line="240" w:lineRule="auto"/>
    </w:pPr>
    <w:rPr>
      <w:rFonts w:ascii="Calibri" w:eastAsiaTheme="minorHAnsi" w:hAnsi="Calibri" w:cs="Consolas"/>
      <w:sz w:val="22"/>
      <w:szCs w:val="21"/>
      <w:lang w:val="it-IT"/>
    </w:rPr>
  </w:style>
  <w:style w:type="character" w:customStyle="1" w:styleId="TestonormaleCarattere">
    <w:name w:val="Testo normale Carattere"/>
    <w:basedOn w:val="Carpredefinitoparagrafo"/>
    <w:link w:val="Testonormale"/>
    <w:uiPriority w:val="99"/>
    <w:rsid w:val="00855BC2"/>
    <w:rPr>
      <w:rFonts w:ascii="Calibri" w:eastAsiaTheme="minorHAnsi" w:hAnsi="Calibri" w:cs="Consolas"/>
      <w:sz w:val="22"/>
      <w:szCs w:val="21"/>
      <w:lang w:val="it-IT"/>
    </w:rPr>
  </w:style>
  <w:style w:type="paragraph" w:styleId="Revisione">
    <w:name w:val="Revision"/>
    <w:hidden/>
    <w:uiPriority w:val="99"/>
    <w:semiHidden/>
    <w:rsid w:val="00AB47B5"/>
    <w:pPr>
      <w:spacing w:line="240" w:lineRule="auto"/>
    </w:pPr>
  </w:style>
  <w:style w:type="character" w:styleId="Collegamentoipertestuale">
    <w:name w:val="Hyperlink"/>
    <w:basedOn w:val="Carpredefinitoparagrafo"/>
    <w:uiPriority w:val="99"/>
    <w:unhideWhenUsed/>
    <w:rsid w:val="004971DF"/>
    <w:rPr>
      <w:color w:val="0000FF" w:themeColor="hyperlink"/>
      <w:u w:val="single"/>
    </w:rPr>
  </w:style>
  <w:style w:type="character" w:styleId="Menzionenonrisolta">
    <w:name w:val="Unresolved Mention"/>
    <w:basedOn w:val="Carpredefinitoparagrafo"/>
    <w:uiPriority w:val="99"/>
    <w:semiHidden/>
    <w:unhideWhenUsed/>
    <w:rsid w:val="00497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1116">
      <w:bodyDiv w:val="1"/>
      <w:marLeft w:val="0"/>
      <w:marRight w:val="0"/>
      <w:marTop w:val="0"/>
      <w:marBottom w:val="0"/>
      <w:divBdr>
        <w:top w:val="none" w:sz="0" w:space="0" w:color="auto"/>
        <w:left w:val="none" w:sz="0" w:space="0" w:color="auto"/>
        <w:bottom w:val="none" w:sz="0" w:space="0" w:color="auto"/>
        <w:right w:val="none" w:sz="0" w:space="0" w:color="auto"/>
      </w:divBdr>
    </w:div>
    <w:div w:id="242103367">
      <w:bodyDiv w:val="1"/>
      <w:marLeft w:val="0"/>
      <w:marRight w:val="0"/>
      <w:marTop w:val="0"/>
      <w:marBottom w:val="0"/>
      <w:divBdr>
        <w:top w:val="none" w:sz="0" w:space="0" w:color="auto"/>
        <w:left w:val="none" w:sz="0" w:space="0" w:color="auto"/>
        <w:bottom w:val="none" w:sz="0" w:space="0" w:color="auto"/>
        <w:right w:val="none" w:sz="0" w:space="0" w:color="auto"/>
      </w:divBdr>
    </w:div>
    <w:div w:id="593513973">
      <w:bodyDiv w:val="1"/>
      <w:marLeft w:val="0"/>
      <w:marRight w:val="0"/>
      <w:marTop w:val="0"/>
      <w:marBottom w:val="0"/>
      <w:divBdr>
        <w:top w:val="none" w:sz="0" w:space="0" w:color="auto"/>
        <w:left w:val="none" w:sz="0" w:space="0" w:color="auto"/>
        <w:bottom w:val="none" w:sz="0" w:space="0" w:color="auto"/>
        <w:right w:val="none" w:sz="0" w:space="0" w:color="auto"/>
      </w:divBdr>
    </w:div>
    <w:div w:id="1214342225">
      <w:bodyDiv w:val="1"/>
      <w:marLeft w:val="0"/>
      <w:marRight w:val="0"/>
      <w:marTop w:val="0"/>
      <w:marBottom w:val="0"/>
      <w:divBdr>
        <w:top w:val="none" w:sz="0" w:space="0" w:color="auto"/>
        <w:left w:val="none" w:sz="0" w:space="0" w:color="auto"/>
        <w:bottom w:val="none" w:sz="0" w:space="0" w:color="auto"/>
        <w:right w:val="none" w:sz="0" w:space="0" w:color="auto"/>
      </w:divBdr>
    </w:div>
    <w:div w:id="1234202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24max.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max.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nfo@pinkommunication.it" TargetMode="External"/><Relationship Id="rId4" Type="http://schemas.openxmlformats.org/officeDocument/2006/relationships/webSettings" Target="webSettings.xml"/><Relationship Id="rId9" Type="http://schemas.openxmlformats.org/officeDocument/2006/relationships/hyperlink" Target="https://user-75022683325.cld.bz/REAL-ESTATE-Data-Hub-2022-e-outlook-2023"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D3397-E7D5-497F-919A-644D7DBE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1868</Words>
  <Characters>10648</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Premoli</cp:lastModifiedBy>
  <cp:revision>31</cp:revision>
  <dcterms:created xsi:type="dcterms:W3CDTF">2023-01-09T11:35:00Z</dcterms:created>
  <dcterms:modified xsi:type="dcterms:W3CDTF">2023-05-25T08:29:00Z</dcterms:modified>
</cp:coreProperties>
</file>