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B2E68" w14:textId="294A9BA9" w:rsidR="00DF2BCD" w:rsidRPr="00D63EB5" w:rsidRDefault="00DF2BCD" w:rsidP="00DF2BCD">
      <w:pPr>
        <w:pStyle w:val="Titolo2"/>
        <w:spacing w:before="0" w:beforeAutospacing="0" w:after="0" w:afterAutospacing="0"/>
        <w:rPr>
          <w:rFonts w:ascii="Arial" w:hAnsi="Arial" w:cs="Arial"/>
          <w:color w:val="DC1C2E"/>
          <w:sz w:val="32"/>
          <w:szCs w:val="32"/>
        </w:rPr>
      </w:pPr>
      <w:r w:rsidRPr="00D63EB5">
        <w:rPr>
          <w:rFonts w:ascii="Arial" w:hAnsi="Arial" w:cs="Arial"/>
          <w:color w:val="DC1C2E"/>
          <w:sz w:val="32"/>
          <w:szCs w:val="32"/>
        </w:rPr>
        <w:t>Le nuove tendenze del mercato immobiliare residenziale in Europa emerse dall’Indagine “European Housing Insight Q1 2023”</w:t>
      </w:r>
      <w:r w:rsidR="00D63EB5" w:rsidRPr="00D63EB5">
        <w:rPr>
          <w:rFonts w:ascii="Arial" w:hAnsi="Arial" w:cs="Arial"/>
          <w:color w:val="DC1C2E"/>
          <w:sz w:val="32"/>
          <w:szCs w:val="32"/>
        </w:rPr>
        <w:t xml:space="preserve"> </w:t>
      </w:r>
      <w:r w:rsidR="00D63EB5">
        <w:rPr>
          <w:rFonts w:ascii="Arial" w:hAnsi="Arial" w:cs="Arial"/>
          <w:color w:val="DC1C2E"/>
          <w:sz w:val="32"/>
          <w:szCs w:val="32"/>
        </w:rPr>
        <w:t>di RE/MAX Europe</w:t>
      </w:r>
      <w:r w:rsidRPr="00D63EB5">
        <w:rPr>
          <w:rFonts w:ascii="Arial" w:hAnsi="Arial" w:cs="Arial"/>
          <w:color w:val="DC1C2E"/>
          <w:sz w:val="32"/>
          <w:szCs w:val="32"/>
        </w:rPr>
        <w:t xml:space="preserve">. </w:t>
      </w:r>
    </w:p>
    <w:p w14:paraId="612E497C" w14:textId="77777777" w:rsidR="002A38F8" w:rsidRPr="002A38F8" w:rsidRDefault="002A38F8" w:rsidP="00DF2BCD">
      <w:pPr>
        <w:jc w:val="both"/>
        <w:rPr>
          <w:rFonts w:ascii="Arial" w:eastAsia="Arial" w:hAnsi="Arial" w:cs="Arial"/>
          <w:b/>
          <w:bCs/>
          <w:color w:val="003DA5"/>
          <w:sz w:val="10"/>
          <w:szCs w:val="10"/>
        </w:rPr>
      </w:pPr>
    </w:p>
    <w:p w14:paraId="214C657E" w14:textId="47C5F1B6" w:rsidR="00DF2BCD" w:rsidRPr="00D63EB5" w:rsidRDefault="002A38F8" w:rsidP="00DF2BCD">
      <w:pPr>
        <w:jc w:val="both"/>
        <w:rPr>
          <w:rFonts w:ascii="Arial" w:eastAsia="Arial" w:hAnsi="Arial" w:cs="Arial"/>
          <w:b/>
          <w:bCs/>
          <w:color w:val="003DA5"/>
          <w:sz w:val="24"/>
          <w:szCs w:val="24"/>
        </w:rPr>
      </w:pPr>
      <w:r w:rsidRPr="00D63EB5">
        <w:rPr>
          <w:rFonts w:ascii="Arial" w:eastAsia="Arial" w:hAnsi="Arial" w:cs="Arial"/>
          <w:b/>
          <w:bCs/>
          <w:color w:val="003DA5"/>
          <w:sz w:val="24"/>
          <w:szCs w:val="24"/>
        </w:rPr>
        <w:t xml:space="preserve">Quattro </w:t>
      </w:r>
      <w:r>
        <w:rPr>
          <w:rFonts w:ascii="Arial" w:eastAsia="Arial" w:hAnsi="Arial" w:cs="Arial"/>
          <w:b/>
          <w:bCs/>
          <w:color w:val="003DA5"/>
          <w:sz w:val="24"/>
          <w:szCs w:val="24"/>
        </w:rPr>
        <w:t>i principali trend</w:t>
      </w:r>
      <w:r w:rsidRPr="00D63EB5">
        <w:rPr>
          <w:rFonts w:ascii="Arial" w:eastAsia="Arial" w:hAnsi="Arial" w:cs="Arial"/>
          <w:b/>
          <w:bCs/>
          <w:color w:val="003DA5"/>
          <w:sz w:val="24"/>
          <w:szCs w:val="24"/>
        </w:rPr>
        <w:t xml:space="preserve">: </w:t>
      </w:r>
      <w:r w:rsidRPr="00A8357C">
        <w:rPr>
          <w:rFonts w:ascii="Arial" w:eastAsia="Arial" w:hAnsi="Arial" w:cs="Arial"/>
          <w:b/>
          <w:bCs/>
          <w:color w:val="003DA5"/>
          <w:sz w:val="24"/>
          <w:szCs w:val="24"/>
        </w:rPr>
        <w:t>domanda e prezzi degli affitti in crescita</w:t>
      </w:r>
      <w:r w:rsidRPr="00D63EB5">
        <w:rPr>
          <w:rFonts w:ascii="Arial" w:eastAsia="Arial" w:hAnsi="Arial" w:cs="Arial"/>
          <w:b/>
          <w:bCs/>
          <w:color w:val="003DA5"/>
          <w:sz w:val="24"/>
          <w:szCs w:val="24"/>
        </w:rPr>
        <w:t>;</w:t>
      </w:r>
      <w:r>
        <w:rPr>
          <w:rFonts w:ascii="Arial" w:eastAsia="Arial" w:hAnsi="Arial" w:cs="Arial"/>
          <w:b/>
          <w:bCs/>
          <w:color w:val="003DA5"/>
          <w:sz w:val="24"/>
          <w:szCs w:val="24"/>
        </w:rPr>
        <w:t xml:space="preserve"> diminuzione del </w:t>
      </w:r>
      <w:r w:rsidR="00DF2BCD" w:rsidRPr="00D63EB5">
        <w:rPr>
          <w:rFonts w:ascii="Arial" w:eastAsia="Arial" w:hAnsi="Arial" w:cs="Arial"/>
          <w:b/>
          <w:bCs/>
          <w:color w:val="003DA5"/>
          <w:sz w:val="24"/>
          <w:szCs w:val="24"/>
        </w:rPr>
        <w:t xml:space="preserve">numero e del prezzo degli immobili in vendita; </w:t>
      </w:r>
      <w:r w:rsidR="00D63EB5" w:rsidRPr="00A8357C">
        <w:rPr>
          <w:rFonts w:ascii="Arial" w:eastAsia="Arial" w:hAnsi="Arial" w:cs="Arial"/>
          <w:b/>
          <w:bCs/>
          <w:color w:val="003DA5"/>
          <w:sz w:val="24"/>
          <w:szCs w:val="24"/>
        </w:rPr>
        <w:t>allungamento dei tempi di vendita</w:t>
      </w:r>
      <w:r w:rsidR="00DF2BCD" w:rsidRPr="00D63EB5">
        <w:rPr>
          <w:rFonts w:ascii="Arial" w:eastAsia="Arial" w:hAnsi="Arial" w:cs="Arial"/>
          <w:b/>
          <w:bCs/>
          <w:color w:val="003DA5"/>
          <w:sz w:val="24"/>
          <w:szCs w:val="24"/>
        </w:rPr>
        <w:t>; propensione dei compratori a scegliere immobili di valore inferiore.</w:t>
      </w:r>
    </w:p>
    <w:p w14:paraId="5AC28A72" w14:textId="77777777" w:rsidR="00DF2BCD" w:rsidRPr="002A38F8" w:rsidRDefault="00DF2BCD" w:rsidP="00A8357C">
      <w:pPr>
        <w:jc w:val="both"/>
        <w:rPr>
          <w:rFonts w:ascii="Arial" w:eastAsia="Times New Roman" w:hAnsi="Arial" w:cs="Arial"/>
          <w:b/>
          <w:bCs/>
          <w:color w:val="DC1C2E"/>
          <w:sz w:val="16"/>
          <w:szCs w:val="16"/>
          <w:lang w:eastAsia="it-IT"/>
        </w:rPr>
      </w:pPr>
    </w:p>
    <w:p w14:paraId="07810A6C" w14:textId="2422D4B5" w:rsidR="00A8357C" w:rsidRDefault="00A8357C" w:rsidP="00A8357C">
      <w:pPr>
        <w:jc w:val="both"/>
        <w:rPr>
          <w:rFonts w:ascii="Arial" w:hAnsi="Arial" w:cs="Arial"/>
        </w:rPr>
      </w:pPr>
      <w:bookmarkStart w:id="0" w:name="_GoBack"/>
      <w:r w:rsidRPr="00051142">
        <w:rPr>
          <w:rFonts w:ascii="Arial" w:hAnsi="Arial" w:cs="Arial"/>
          <w:b/>
          <w:bCs/>
        </w:rPr>
        <w:t>RE/MAX Europe</w:t>
      </w:r>
      <w:r w:rsidR="00916F83" w:rsidRPr="00D63EB5">
        <w:rPr>
          <w:rFonts w:ascii="Arial" w:hAnsi="Arial" w:cs="Arial"/>
        </w:rPr>
        <w:t xml:space="preserve"> </w:t>
      </w:r>
      <w:r w:rsidRPr="00D63EB5">
        <w:rPr>
          <w:rFonts w:ascii="Arial" w:hAnsi="Arial" w:cs="Arial"/>
        </w:rPr>
        <w:t>ha rilasciato l‘</w:t>
      </w:r>
      <w:r w:rsidRPr="00051142">
        <w:rPr>
          <w:rFonts w:ascii="Arial" w:hAnsi="Arial" w:cs="Arial"/>
          <w:b/>
          <w:bCs/>
        </w:rPr>
        <w:t>European Housing Insight Q1 2023</w:t>
      </w:r>
      <w:r w:rsidRPr="00D63EB5">
        <w:rPr>
          <w:rFonts w:ascii="Arial" w:hAnsi="Arial" w:cs="Arial"/>
        </w:rPr>
        <w:t>, l’indagine trimestrale condotta intervistando oltre 3.000 affiliati operanti in 35 Paesi europei</w:t>
      </w:r>
      <w:r w:rsidR="00BC7466" w:rsidRPr="00D63EB5">
        <w:rPr>
          <w:rFonts w:ascii="Arial" w:hAnsi="Arial" w:cs="Arial"/>
        </w:rPr>
        <w:t xml:space="preserve">, </w:t>
      </w:r>
      <w:r w:rsidR="00D63EB5" w:rsidRPr="00D63EB5">
        <w:rPr>
          <w:rFonts w:ascii="Arial" w:hAnsi="Arial" w:cs="Arial"/>
        </w:rPr>
        <w:t>che conferma l’inversione di tendenza del</w:t>
      </w:r>
      <w:r w:rsidR="00BC7466" w:rsidRPr="00D63EB5">
        <w:rPr>
          <w:rFonts w:ascii="Arial" w:hAnsi="Arial" w:cs="Arial"/>
        </w:rPr>
        <w:t xml:space="preserve"> mercato immobiliare europeo </w:t>
      </w:r>
      <w:r w:rsidR="00051142">
        <w:rPr>
          <w:rFonts w:ascii="Arial" w:hAnsi="Arial" w:cs="Arial"/>
        </w:rPr>
        <w:t xml:space="preserve">iniziata </w:t>
      </w:r>
      <w:r w:rsidR="00BC7466" w:rsidRPr="00D63EB5">
        <w:rPr>
          <w:rFonts w:ascii="Arial" w:hAnsi="Arial" w:cs="Arial"/>
        </w:rPr>
        <w:t>nel 2022</w:t>
      </w:r>
      <w:r w:rsidR="00D63EB5" w:rsidRPr="00D63EB5">
        <w:rPr>
          <w:rFonts w:ascii="Arial" w:hAnsi="Arial" w:cs="Arial"/>
        </w:rPr>
        <w:t xml:space="preserve">, </w:t>
      </w:r>
      <w:r w:rsidR="0006410E">
        <w:rPr>
          <w:rFonts w:ascii="Arial" w:hAnsi="Arial" w:cs="Arial"/>
        </w:rPr>
        <w:t>i cui effetti</w:t>
      </w:r>
      <w:r w:rsidR="00BC7466" w:rsidRPr="00D63EB5">
        <w:rPr>
          <w:rFonts w:ascii="Arial" w:hAnsi="Arial" w:cs="Arial"/>
        </w:rPr>
        <w:t xml:space="preserve"> saranno ancora più visibili nel 2023. </w:t>
      </w:r>
      <w:r w:rsidRPr="00D63EB5">
        <w:rPr>
          <w:rFonts w:ascii="Arial" w:hAnsi="Arial" w:cs="Arial"/>
        </w:rPr>
        <w:t xml:space="preserve">Il report, che analizza il mercato immobiliare europeo nel </w:t>
      </w:r>
      <w:r w:rsidRPr="00051142">
        <w:rPr>
          <w:rFonts w:ascii="Arial" w:hAnsi="Arial" w:cs="Arial"/>
          <w:b/>
          <w:bCs/>
        </w:rPr>
        <w:t>primo trimestre 2023</w:t>
      </w:r>
      <w:r w:rsidRPr="00D63EB5">
        <w:rPr>
          <w:rFonts w:ascii="Arial" w:hAnsi="Arial" w:cs="Arial"/>
        </w:rPr>
        <w:t xml:space="preserve">, identifica </w:t>
      </w:r>
      <w:r w:rsidRPr="00051142">
        <w:rPr>
          <w:rFonts w:ascii="Arial" w:hAnsi="Arial" w:cs="Arial"/>
          <w:b/>
          <w:bCs/>
        </w:rPr>
        <w:t>quattro principali trend</w:t>
      </w:r>
      <w:r w:rsidRPr="00D63EB5">
        <w:rPr>
          <w:rFonts w:ascii="Arial" w:hAnsi="Arial" w:cs="Arial"/>
        </w:rPr>
        <w:t xml:space="preserve"> che determineranno l’andamento del </w:t>
      </w:r>
      <w:proofErr w:type="spellStart"/>
      <w:r w:rsidRPr="00D63EB5">
        <w:rPr>
          <w:rFonts w:ascii="Arial" w:hAnsi="Arial" w:cs="Arial"/>
        </w:rPr>
        <w:t>real</w:t>
      </w:r>
      <w:proofErr w:type="spellEnd"/>
      <w:r w:rsidRPr="00D63EB5">
        <w:rPr>
          <w:rFonts w:ascii="Arial" w:hAnsi="Arial" w:cs="Arial"/>
        </w:rPr>
        <w:t xml:space="preserve"> estate in Europa </w:t>
      </w:r>
      <w:r w:rsidR="0006410E">
        <w:rPr>
          <w:rFonts w:ascii="Arial" w:hAnsi="Arial" w:cs="Arial"/>
        </w:rPr>
        <w:t>nei</w:t>
      </w:r>
      <w:r w:rsidRPr="00D63EB5">
        <w:rPr>
          <w:rFonts w:ascii="Arial" w:hAnsi="Arial" w:cs="Arial"/>
        </w:rPr>
        <w:t xml:space="preserve"> prossimi mesi. Tra questi, </w:t>
      </w:r>
      <w:r w:rsidRPr="00051142">
        <w:rPr>
          <w:rFonts w:ascii="Arial" w:hAnsi="Arial" w:cs="Arial"/>
          <w:b/>
          <w:bCs/>
        </w:rPr>
        <w:t>l'aumento della domanda di affitti e dei prezzi di locazione</w:t>
      </w:r>
      <w:r w:rsidRPr="00D63EB5">
        <w:rPr>
          <w:rFonts w:ascii="Arial" w:hAnsi="Arial" w:cs="Arial"/>
        </w:rPr>
        <w:t xml:space="preserve">, che offre interessanti opportunità agli investitori. Uno scenario che coincide con una diffusa </w:t>
      </w:r>
      <w:r w:rsidRPr="00051142">
        <w:rPr>
          <w:rFonts w:ascii="Arial" w:hAnsi="Arial" w:cs="Arial"/>
          <w:b/>
          <w:bCs/>
        </w:rPr>
        <w:t>diminuzione dell’offerta di immobili in vendita</w:t>
      </w:r>
      <w:r w:rsidRPr="00D63EB5">
        <w:rPr>
          <w:rFonts w:ascii="Arial" w:hAnsi="Arial" w:cs="Arial"/>
        </w:rPr>
        <w:t xml:space="preserve">, accompagnata da una tendenza alla </w:t>
      </w:r>
      <w:r w:rsidRPr="00051142">
        <w:rPr>
          <w:rFonts w:ascii="Arial" w:hAnsi="Arial" w:cs="Arial"/>
          <w:b/>
          <w:bCs/>
        </w:rPr>
        <w:t>riduzione dei prezzi</w:t>
      </w:r>
      <w:r w:rsidRPr="00D63EB5">
        <w:rPr>
          <w:rFonts w:ascii="Arial" w:hAnsi="Arial" w:cs="Arial"/>
        </w:rPr>
        <w:t xml:space="preserve">, seppur con notevoli variazioni da zona a zona. Inoltre, il report evidenzia come le preferenze degli acquirenti si stiano orientando sempre più verso </w:t>
      </w:r>
      <w:r w:rsidRPr="00051142">
        <w:rPr>
          <w:rFonts w:ascii="Arial" w:hAnsi="Arial" w:cs="Arial"/>
          <w:b/>
          <w:bCs/>
        </w:rPr>
        <w:t>immobili di dimensioni più piccole</w:t>
      </w:r>
      <w:r w:rsidRPr="00D63EB5">
        <w:rPr>
          <w:rFonts w:ascii="Arial" w:hAnsi="Arial" w:cs="Arial"/>
        </w:rPr>
        <w:t>, situati al di fuori dei principali centri urbani</w:t>
      </w:r>
      <w:r w:rsidR="00E473DD" w:rsidRPr="00D63EB5">
        <w:rPr>
          <w:rFonts w:ascii="Arial" w:hAnsi="Arial" w:cs="Arial"/>
        </w:rPr>
        <w:t xml:space="preserve"> ed efficienti dal punto di vista energetico</w:t>
      </w:r>
      <w:r w:rsidRPr="00D63EB5">
        <w:rPr>
          <w:rFonts w:ascii="Arial" w:hAnsi="Arial" w:cs="Arial"/>
        </w:rPr>
        <w:t xml:space="preserve">. </w:t>
      </w:r>
    </w:p>
    <w:p w14:paraId="0BF52DA5" w14:textId="77777777" w:rsidR="00CE1F75" w:rsidRPr="00D63EB5" w:rsidRDefault="00CE1F75" w:rsidP="00A8357C">
      <w:pPr>
        <w:jc w:val="both"/>
        <w:rPr>
          <w:rFonts w:ascii="Arial" w:hAnsi="Arial" w:cs="Arial"/>
        </w:rPr>
      </w:pPr>
    </w:p>
    <w:p w14:paraId="0E23C828" w14:textId="2D156557" w:rsidR="00323329" w:rsidRPr="0006410E" w:rsidRDefault="00CE1F75" w:rsidP="00CE1F75">
      <w:pPr>
        <w:jc w:val="both"/>
        <w:rPr>
          <w:rFonts w:ascii="Arial" w:hAnsi="Arial" w:cs="Arial"/>
          <w:i/>
          <w:iCs/>
        </w:rPr>
      </w:pPr>
      <w:r w:rsidRPr="00051142">
        <w:rPr>
          <w:rFonts w:ascii="Arial" w:hAnsi="Arial" w:cs="Arial"/>
        </w:rPr>
        <w:t>“</w:t>
      </w:r>
      <w:r w:rsidRPr="00051142">
        <w:rPr>
          <w:rFonts w:ascii="Arial" w:hAnsi="Arial" w:cs="Arial"/>
          <w:i/>
          <w:iCs/>
        </w:rPr>
        <w:t xml:space="preserve">Sebbene il mercato immobiliare sia storicamente ciclico, </w:t>
      </w:r>
      <w:r w:rsidRPr="00051142">
        <w:rPr>
          <w:rFonts w:ascii="Arial" w:hAnsi="Arial" w:cs="Arial"/>
          <w:b/>
          <w:bCs/>
          <w:i/>
          <w:iCs/>
        </w:rPr>
        <w:t>tendenze come quelle rilevate dall’Indagine di RE/MAX Europe nel primo trimestre 2023 non si verificavano da tempo</w:t>
      </w:r>
      <w:r w:rsidRPr="00051142">
        <w:rPr>
          <w:rFonts w:ascii="Arial" w:hAnsi="Arial" w:cs="Arial"/>
        </w:rPr>
        <w:t xml:space="preserve">”, commenta </w:t>
      </w:r>
      <w:r w:rsidRPr="00051142">
        <w:rPr>
          <w:rFonts w:ascii="Arial" w:hAnsi="Arial" w:cs="Arial"/>
          <w:b/>
          <w:bCs/>
        </w:rPr>
        <w:t>Dario Castiglia</w:t>
      </w:r>
      <w:r w:rsidRPr="00051142">
        <w:rPr>
          <w:rFonts w:ascii="Arial" w:hAnsi="Arial" w:cs="Arial"/>
        </w:rPr>
        <w:t xml:space="preserve"> – Ceo &amp; Founder di RE/MAX Italia. “</w:t>
      </w:r>
      <w:r w:rsidRPr="00051142">
        <w:rPr>
          <w:rFonts w:ascii="Arial" w:hAnsi="Arial" w:cs="Arial"/>
          <w:i/>
          <w:iCs/>
        </w:rPr>
        <w:t>Seppure con la dovuta cautela e tenendo conto delle sfumature locali, nel complesso il mercato europeo</w:t>
      </w:r>
      <w:r w:rsidR="00323329">
        <w:rPr>
          <w:rFonts w:ascii="Arial" w:hAnsi="Arial" w:cs="Arial"/>
          <w:i/>
          <w:iCs/>
        </w:rPr>
        <w:t xml:space="preserve">, </w:t>
      </w:r>
      <w:r w:rsidR="00323329" w:rsidRPr="0006410E">
        <w:rPr>
          <w:rFonts w:ascii="Arial" w:hAnsi="Arial" w:cs="Arial"/>
          <w:i/>
          <w:iCs/>
        </w:rPr>
        <w:t>in fase di assestamento,</w:t>
      </w:r>
      <w:r w:rsidR="00323329" w:rsidRPr="00051142">
        <w:rPr>
          <w:rFonts w:ascii="Arial" w:hAnsi="Arial" w:cs="Arial"/>
          <w:i/>
          <w:iCs/>
        </w:rPr>
        <w:t xml:space="preserve"> </w:t>
      </w:r>
      <w:r w:rsidR="00323329">
        <w:rPr>
          <w:rFonts w:ascii="Arial" w:hAnsi="Arial" w:cs="Arial"/>
          <w:i/>
          <w:iCs/>
        </w:rPr>
        <w:t>offre interessanti</w:t>
      </w:r>
      <w:r w:rsidRPr="00051142">
        <w:rPr>
          <w:rFonts w:ascii="Arial" w:hAnsi="Arial" w:cs="Arial"/>
          <w:i/>
          <w:iCs/>
        </w:rPr>
        <w:t xml:space="preserve"> opportunità </w:t>
      </w:r>
      <w:r w:rsidR="00323329">
        <w:rPr>
          <w:rFonts w:ascii="Arial" w:hAnsi="Arial" w:cs="Arial"/>
          <w:i/>
          <w:iCs/>
        </w:rPr>
        <w:t>per i compratori</w:t>
      </w:r>
      <w:r w:rsidRPr="0006410E">
        <w:rPr>
          <w:rFonts w:ascii="Arial" w:hAnsi="Arial" w:cs="Arial"/>
          <w:i/>
          <w:iCs/>
        </w:rPr>
        <w:t xml:space="preserve">”. </w:t>
      </w:r>
    </w:p>
    <w:p w14:paraId="7C79768C" w14:textId="77777777" w:rsidR="00A8357C" w:rsidRPr="00D63EB5" w:rsidRDefault="00A8357C" w:rsidP="00A8357C">
      <w:pPr>
        <w:jc w:val="both"/>
        <w:rPr>
          <w:rFonts w:ascii="Arial" w:hAnsi="Arial" w:cs="Arial"/>
        </w:rPr>
      </w:pPr>
    </w:p>
    <w:p w14:paraId="5AC5C43B" w14:textId="6A3C4F2B" w:rsidR="00A8357C" w:rsidRPr="00A8357C" w:rsidRDefault="00A8357C" w:rsidP="00A8357C">
      <w:pPr>
        <w:jc w:val="both"/>
        <w:rPr>
          <w:rFonts w:ascii="Arial" w:hAnsi="Arial" w:cs="Arial"/>
        </w:rPr>
      </w:pPr>
      <w:r w:rsidRPr="00D63EB5">
        <w:rPr>
          <w:rFonts w:ascii="Arial" w:hAnsi="Arial" w:cs="Arial"/>
        </w:rPr>
        <w:t>Dall’European Housing Insight Q1 2023</w:t>
      </w:r>
      <w:r w:rsidR="00CE1F75">
        <w:rPr>
          <w:rFonts w:ascii="Arial" w:hAnsi="Arial" w:cs="Arial"/>
        </w:rPr>
        <w:t>, infatti,</w:t>
      </w:r>
      <w:r w:rsidRPr="00D63EB5">
        <w:rPr>
          <w:rFonts w:ascii="Arial" w:hAnsi="Arial" w:cs="Arial"/>
        </w:rPr>
        <w:t xml:space="preserve"> emerge che, nonostante le sfide derivanti dal perdurare del conflitto in Ucraina, dall'aumento dei prezzi dell'energia e dei costi di costruzione, dall'incremento dei tassi d'interesse e dalle pressioni ambientali, </w:t>
      </w:r>
      <w:r w:rsidRPr="00051142">
        <w:rPr>
          <w:rFonts w:ascii="Arial" w:hAnsi="Arial" w:cs="Arial"/>
          <w:b/>
          <w:bCs/>
        </w:rPr>
        <w:t>il mercato immobiliare residenziale europeo si conferma vivace, seppur soggetto a un certo grado di volatil</w:t>
      </w:r>
      <w:r w:rsidRPr="00D63EB5">
        <w:rPr>
          <w:rFonts w:ascii="Arial" w:hAnsi="Arial" w:cs="Arial"/>
        </w:rPr>
        <w:t>i</w:t>
      </w:r>
      <w:r w:rsidRPr="00CE1F75">
        <w:rPr>
          <w:rFonts w:ascii="Arial" w:hAnsi="Arial" w:cs="Arial"/>
          <w:b/>
          <w:bCs/>
        </w:rPr>
        <w:t>tà</w:t>
      </w:r>
      <w:r w:rsidRPr="00D63EB5">
        <w:rPr>
          <w:rFonts w:ascii="Arial" w:hAnsi="Arial" w:cs="Arial"/>
        </w:rPr>
        <w:t xml:space="preserve">. </w:t>
      </w:r>
      <w:r w:rsidR="00916F83" w:rsidRPr="00D63EB5">
        <w:rPr>
          <w:rFonts w:ascii="Arial" w:hAnsi="Arial" w:cs="Arial"/>
        </w:rPr>
        <w:t>Questi fattori</w:t>
      </w:r>
      <w:r w:rsidRPr="00D63EB5">
        <w:rPr>
          <w:rFonts w:ascii="Arial" w:hAnsi="Arial" w:cs="Arial"/>
        </w:rPr>
        <w:t>, infatti, hanno influenzato in modi diversi i singoli mercati immobiliari locali</w:t>
      </w:r>
      <w:r w:rsidR="00D63EB5">
        <w:rPr>
          <w:rFonts w:ascii="Arial" w:hAnsi="Arial" w:cs="Arial"/>
        </w:rPr>
        <w:t xml:space="preserve">. </w:t>
      </w:r>
      <w:r w:rsidR="00D63EB5" w:rsidRPr="00D63EB5">
        <w:rPr>
          <w:rFonts w:ascii="Arial" w:hAnsi="Arial" w:cs="Arial"/>
          <w:b/>
          <w:bCs/>
        </w:rPr>
        <w:t>I prezzi degli immobili e la domanda sono aumentati</w:t>
      </w:r>
      <w:r w:rsidR="00D63EB5" w:rsidRPr="00D63EB5">
        <w:rPr>
          <w:rFonts w:ascii="Arial" w:hAnsi="Arial" w:cs="Arial"/>
        </w:rPr>
        <w:t xml:space="preserve"> </w:t>
      </w:r>
      <w:r w:rsidR="00D63EB5" w:rsidRPr="00051142">
        <w:rPr>
          <w:rFonts w:ascii="Arial" w:hAnsi="Arial" w:cs="Arial"/>
          <w:b/>
          <w:bCs/>
        </w:rPr>
        <w:t>in alcuni Paesi</w:t>
      </w:r>
      <w:r w:rsidR="00D63EB5" w:rsidRPr="00D63EB5">
        <w:rPr>
          <w:rFonts w:ascii="Arial" w:hAnsi="Arial" w:cs="Arial"/>
        </w:rPr>
        <w:t xml:space="preserve"> come la Francia (15,3%)</w:t>
      </w:r>
      <w:r w:rsidR="00CE1F75">
        <w:rPr>
          <w:rFonts w:ascii="Arial" w:hAnsi="Arial" w:cs="Arial"/>
        </w:rPr>
        <w:t xml:space="preserve"> e in grandi città </w:t>
      </w:r>
      <w:r w:rsidR="00CE1F75" w:rsidRPr="00D63EB5">
        <w:rPr>
          <w:rFonts w:ascii="Arial" w:hAnsi="Arial" w:cs="Arial"/>
        </w:rPr>
        <w:t>come Lisbona e Madrid</w:t>
      </w:r>
      <w:r w:rsidR="00CE1F75">
        <w:rPr>
          <w:rFonts w:ascii="Arial" w:hAnsi="Arial" w:cs="Arial"/>
        </w:rPr>
        <w:t>,</w:t>
      </w:r>
      <w:r w:rsidR="00CE1F75" w:rsidRPr="00D63EB5">
        <w:rPr>
          <w:rFonts w:ascii="Arial" w:hAnsi="Arial" w:cs="Arial"/>
        </w:rPr>
        <w:t xml:space="preserve"> </w:t>
      </w:r>
      <w:r w:rsidR="00D63EB5" w:rsidRPr="00D63EB5">
        <w:rPr>
          <w:rFonts w:ascii="Arial" w:hAnsi="Arial" w:cs="Arial"/>
        </w:rPr>
        <w:t xml:space="preserve">mentre </w:t>
      </w:r>
      <w:r w:rsidR="00D63EB5" w:rsidRPr="00D63EB5">
        <w:rPr>
          <w:rFonts w:ascii="Arial" w:hAnsi="Arial" w:cs="Arial"/>
          <w:b/>
          <w:bCs/>
        </w:rPr>
        <w:t>altre Nazioni hanno registrato un calo notevole</w:t>
      </w:r>
      <w:r w:rsidR="00D63EB5" w:rsidRPr="00D63EB5">
        <w:rPr>
          <w:rFonts w:ascii="Arial" w:hAnsi="Arial" w:cs="Arial"/>
        </w:rPr>
        <w:t xml:space="preserve"> come la Germania, dove si evidenzia una contrazione del 7,2% </w:t>
      </w:r>
      <w:r w:rsidRPr="00D63EB5">
        <w:rPr>
          <w:rFonts w:ascii="Arial" w:hAnsi="Arial" w:cs="Arial"/>
        </w:rPr>
        <w:t>accompagnat</w:t>
      </w:r>
      <w:r w:rsidR="00D63EB5" w:rsidRPr="00D63EB5">
        <w:rPr>
          <w:rFonts w:ascii="Arial" w:hAnsi="Arial" w:cs="Arial"/>
        </w:rPr>
        <w:t>a</w:t>
      </w:r>
      <w:r w:rsidRPr="00D63EB5">
        <w:rPr>
          <w:rFonts w:ascii="Arial" w:hAnsi="Arial" w:cs="Arial"/>
        </w:rPr>
        <w:t xml:space="preserve"> da un’importante riduzione delle concessioni edilizie che raggiunge il 20%</w:t>
      </w:r>
      <w:r w:rsidR="00D63EB5" w:rsidRPr="00D63EB5">
        <w:rPr>
          <w:rFonts w:ascii="Arial" w:hAnsi="Arial" w:cs="Arial"/>
        </w:rPr>
        <w:t>.</w:t>
      </w:r>
      <w:r w:rsidRPr="00A8357C">
        <w:rPr>
          <w:rFonts w:ascii="Arial" w:hAnsi="Arial" w:cs="Arial"/>
        </w:rPr>
        <w:t xml:space="preserve"> </w:t>
      </w:r>
    </w:p>
    <w:p w14:paraId="237B4844" w14:textId="77777777" w:rsidR="007570A0" w:rsidRPr="007570A0" w:rsidRDefault="007570A0" w:rsidP="00A8357C">
      <w:pPr>
        <w:jc w:val="both"/>
        <w:rPr>
          <w:rFonts w:ascii="Arial" w:hAnsi="Arial" w:cs="Arial"/>
        </w:rPr>
      </w:pPr>
    </w:p>
    <w:p w14:paraId="44ECC64B" w14:textId="13AE585B" w:rsidR="00323329" w:rsidRDefault="00A8357C" w:rsidP="00323329">
      <w:pPr>
        <w:jc w:val="both"/>
        <w:rPr>
          <w:rFonts w:ascii="Arial" w:hAnsi="Arial" w:cs="Arial"/>
        </w:rPr>
      </w:pPr>
      <w:r w:rsidRPr="00D63EB5">
        <w:rPr>
          <w:rFonts w:ascii="Arial" w:hAnsi="Arial" w:cs="Arial"/>
        </w:rPr>
        <w:t xml:space="preserve">Nonostante la previsione di una </w:t>
      </w:r>
      <w:r w:rsidR="00D63EB5" w:rsidRPr="00D63EB5">
        <w:rPr>
          <w:rFonts w:ascii="Arial" w:hAnsi="Arial" w:cs="Arial"/>
        </w:rPr>
        <w:t xml:space="preserve">generale </w:t>
      </w:r>
      <w:r w:rsidRPr="00D63EB5">
        <w:rPr>
          <w:rFonts w:ascii="Arial" w:hAnsi="Arial" w:cs="Arial"/>
        </w:rPr>
        <w:t xml:space="preserve">diminuzione dei prezzi, </w:t>
      </w:r>
      <w:r w:rsidRPr="00CE1F75">
        <w:rPr>
          <w:rFonts w:ascii="Arial" w:hAnsi="Arial" w:cs="Arial"/>
          <w:b/>
          <w:bCs/>
        </w:rPr>
        <w:t>gli immobili continuano ad essere considerati un investimento a lungo termine stabile e redditizio,</w:t>
      </w:r>
      <w:r w:rsidRPr="00D63EB5">
        <w:rPr>
          <w:rFonts w:ascii="Arial" w:hAnsi="Arial" w:cs="Arial"/>
        </w:rPr>
        <w:t xml:space="preserve"> con un potenziale di rivalutazione del capitale e un reddito da locazione costante. Inoltre, </w:t>
      </w:r>
      <w:r w:rsidR="00D63EB5" w:rsidRPr="00D63EB5">
        <w:rPr>
          <w:rFonts w:ascii="Arial" w:hAnsi="Arial" w:cs="Arial"/>
        </w:rPr>
        <w:t>gli</w:t>
      </w:r>
      <w:r w:rsidRPr="00D63EB5">
        <w:rPr>
          <w:rFonts w:ascii="Arial" w:hAnsi="Arial" w:cs="Arial"/>
        </w:rPr>
        <w:t xml:space="preserve"> immobili rappresenta</w:t>
      </w:r>
      <w:r w:rsidR="00D63EB5" w:rsidRPr="00D63EB5">
        <w:rPr>
          <w:rFonts w:ascii="Arial" w:hAnsi="Arial" w:cs="Arial"/>
        </w:rPr>
        <w:t>no</w:t>
      </w:r>
      <w:r w:rsidRPr="00D63EB5">
        <w:rPr>
          <w:rFonts w:ascii="Arial" w:hAnsi="Arial" w:cs="Arial"/>
        </w:rPr>
        <w:t xml:space="preserve"> un'opzione interessante per </w:t>
      </w:r>
      <w:r w:rsidR="00D63EB5" w:rsidRPr="00D63EB5">
        <w:rPr>
          <w:rFonts w:ascii="Arial" w:hAnsi="Arial" w:cs="Arial"/>
        </w:rPr>
        <w:t>gli investitori che</w:t>
      </w:r>
      <w:r w:rsidR="007570A0" w:rsidRPr="00D63EB5">
        <w:rPr>
          <w:rFonts w:ascii="Arial" w:hAnsi="Arial" w:cs="Arial"/>
        </w:rPr>
        <w:t xml:space="preserve">, considerando </w:t>
      </w:r>
      <w:r w:rsidR="00D63EB5" w:rsidRPr="00D63EB5">
        <w:rPr>
          <w:rFonts w:ascii="Arial" w:hAnsi="Arial" w:cs="Arial"/>
        </w:rPr>
        <w:t>il mattone</w:t>
      </w:r>
      <w:r w:rsidR="007570A0" w:rsidRPr="00D63EB5">
        <w:rPr>
          <w:rFonts w:ascii="Arial" w:hAnsi="Arial" w:cs="Arial"/>
        </w:rPr>
        <w:t xml:space="preserve"> un bene rifugio,</w:t>
      </w:r>
      <w:r w:rsidRPr="00D63EB5">
        <w:rPr>
          <w:rFonts w:ascii="Arial" w:hAnsi="Arial" w:cs="Arial"/>
        </w:rPr>
        <w:t xml:space="preserve"> </w:t>
      </w:r>
      <w:r w:rsidR="007570A0" w:rsidRPr="00D63EB5">
        <w:rPr>
          <w:rFonts w:ascii="Arial" w:hAnsi="Arial" w:cs="Arial"/>
        </w:rPr>
        <w:t>diversificano</w:t>
      </w:r>
      <w:r w:rsidRPr="00D63EB5">
        <w:rPr>
          <w:rFonts w:ascii="Arial" w:hAnsi="Arial" w:cs="Arial"/>
        </w:rPr>
        <w:t xml:space="preserve"> il proprio portfolio per proteggersi dall'inflazione e dalla volatilità del mercato.</w:t>
      </w:r>
      <w:r w:rsidRPr="007570A0">
        <w:rPr>
          <w:rFonts w:ascii="Arial" w:hAnsi="Arial" w:cs="Arial"/>
        </w:rPr>
        <w:t xml:space="preserve"> </w:t>
      </w:r>
      <w:r w:rsidR="00323329">
        <w:rPr>
          <w:rFonts w:ascii="Arial" w:hAnsi="Arial" w:cs="Arial"/>
        </w:rPr>
        <w:t>A questo proposito, Dario Castiglia aggiunge: “</w:t>
      </w:r>
      <w:r w:rsidR="00323329" w:rsidRPr="00323329">
        <w:rPr>
          <w:rFonts w:ascii="Arial" w:hAnsi="Arial" w:cs="Arial"/>
          <w:i/>
          <w:iCs/>
        </w:rPr>
        <w:t>Rispetto al 2022 stiamo assistendo a un riequilibr</w:t>
      </w:r>
      <w:r w:rsidR="00720DD2">
        <w:rPr>
          <w:rFonts w:ascii="Arial" w:hAnsi="Arial" w:cs="Arial"/>
          <w:i/>
          <w:iCs/>
        </w:rPr>
        <w:t>i</w:t>
      </w:r>
      <w:r w:rsidR="00323329" w:rsidRPr="00323329">
        <w:rPr>
          <w:rFonts w:ascii="Arial" w:hAnsi="Arial" w:cs="Arial"/>
          <w:i/>
          <w:iCs/>
        </w:rPr>
        <w:t xml:space="preserve">o </w:t>
      </w:r>
      <w:r w:rsidR="00323329" w:rsidRPr="00323329">
        <w:rPr>
          <w:rFonts w:ascii="Arial" w:hAnsi="Arial" w:cs="Arial"/>
          <w:i/>
          <w:iCs/>
        </w:rPr>
        <w:lastRenderedPageBreak/>
        <w:t xml:space="preserve">della domanda che nel breve si traduce in una contrazione, ma nel medio periodo fa intravedere una diversa composizione degli attori con una </w:t>
      </w:r>
      <w:r w:rsidR="00E60428">
        <w:rPr>
          <w:rFonts w:ascii="Arial" w:hAnsi="Arial" w:cs="Arial"/>
          <w:i/>
          <w:iCs/>
        </w:rPr>
        <w:t>richiesta</w:t>
      </w:r>
      <w:r w:rsidR="00323329" w:rsidRPr="00323329">
        <w:rPr>
          <w:rFonts w:ascii="Arial" w:hAnsi="Arial" w:cs="Arial"/>
          <w:i/>
          <w:iCs/>
        </w:rPr>
        <w:t xml:space="preserve"> trainata dall’investimento immobiliare e da nuove esigenze come </w:t>
      </w:r>
      <w:r w:rsidR="00E60428">
        <w:rPr>
          <w:rFonts w:ascii="Arial" w:hAnsi="Arial" w:cs="Arial"/>
          <w:i/>
          <w:iCs/>
        </w:rPr>
        <w:t>l</w:t>
      </w:r>
      <w:r w:rsidR="00323329" w:rsidRPr="00323329">
        <w:rPr>
          <w:rFonts w:ascii="Arial" w:hAnsi="Arial" w:cs="Arial"/>
          <w:i/>
          <w:iCs/>
        </w:rPr>
        <w:t>a maggiore sensibilità alle prestazioni energetiche</w:t>
      </w:r>
      <w:r w:rsidR="00323329">
        <w:rPr>
          <w:rFonts w:ascii="Arial" w:hAnsi="Arial" w:cs="Arial"/>
          <w:i/>
          <w:iCs/>
        </w:rPr>
        <w:t>”</w:t>
      </w:r>
      <w:r w:rsidR="00323329" w:rsidRPr="00323329">
        <w:rPr>
          <w:rFonts w:ascii="Arial" w:hAnsi="Arial" w:cs="Arial"/>
        </w:rPr>
        <w:t xml:space="preserve">. </w:t>
      </w:r>
    </w:p>
    <w:bookmarkEnd w:id="0"/>
    <w:p w14:paraId="6EAFD2C6" w14:textId="4A800469" w:rsidR="00A8357C" w:rsidRPr="00A8357C" w:rsidRDefault="00A8357C" w:rsidP="00A8357C">
      <w:pPr>
        <w:jc w:val="both"/>
        <w:rPr>
          <w:rFonts w:ascii="Arial" w:hAnsi="Arial" w:cs="Arial"/>
        </w:rPr>
      </w:pPr>
    </w:p>
    <w:p w14:paraId="0219B257" w14:textId="77777777" w:rsidR="00DF2BCD" w:rsidRDefault="00DF2BCD" w:rsidP="00DF2BCD">
      <w:pPr>
        <w:jc w:val="both"/>
        <w:rPr>
          <w:rFonts w:ascii="Arial" w:hAnsi="Arial" w:cs="Arial"/>
        </w:rPr>
      </w:pPr>
    </w:p>
    <w:p w14:paraId="34B1AA17" w14:textId="77777777" w:rsidR="001739A8" w:rsidRPr="001D4B79" w:rsidRDefault="001739A8" w:rsidP="001739A8">
      <w:pPr>
        <w:rPr>
          <w:rFonts w:ascii="Arial" w:eastAsia="Arial" w:hAnsi="Arial" w:cs="Arial"/>
          <w:b/>
          <w:color w:val="004A99"/>
        </w:rPr>
      </w:pPr>
      <w:r>
        <w:rPr>
          <w:rFonts w:ascii="Arial" w:eastAsia="Arial" w:hAnsi="Arial" w:cs="Arial"/>
          <w:b/>
          <w:color w:val="004A99"/>
        </w:rPr>
        <w:t>Informazioni sull’Indagine “European Housing Insight Q1 2023”</w:t>
      </w:r>
    </w:p>
    <w:p w14:paraId="1ED6FF49" w14:textId="77777777" w:rsidR="001739A8" w:rsidRPr="00A8357C" w:rsidRDefault="001739A8" w:rsidP="001739A8">
      <w:pPr>
        <w:jc w:val="both"/>
        <w:rPr>
          <w:rFonts w:ascii="Arial" w:hAnsi="Arial" w:cs="Arial"/>
        </w:rPr>
      </w:pPr>
      <w:r w:rsidRPr="00A8357C">
        <w:rPr>
          <w:rFonts w:ascii="Arial" w:hAnsi="Arial" w:cs="Arial"/>
        </w:rPr>
        <w:t>Questa edizione d</w:t>
      </w:r>
      <w:r>
        <w:rPr>
          <w:rFonts w:ascii="Arial" w:hAnsi="Arial" w:cs="Arial"/>
        </w:rPr>
        <w:t>i “</w:t>
      </w:r>
      <w:r w:rsidRPr="00A8357C">
        <w:rPr>
          <w:rFonts w:ascii="Arial" w:hAnsi="Arial" w:cs="Arial"/>
        </w:rPr>
        <w:t>European Housing Insight</w:t>
      </w:r>
      <w:r>
        <w:rPr>
          <w:rFonts w:ascii="Arial" w:hAnsi="Arial" w:cs="Arial"/>
        </w:rPr>
        <w:t>”</w:t>
      </w:r>
      <w:r w:rsidRPr="00A8357C">
        <w:rPr>
          <w:rFonts w:ascii="Arial" w:hAnsi="Arial" w:cs="Arial"/>
        </w:rPr>
        <w:t xml:space="preserve"> di RE/MAX Europe relativa al primo trimestre del 2023 si basa su un'indagine interna a cui hanno preso parte oltre 3.000 affiliati operanti in 35 Paesi europei. La survey, inoltre, è integrata dai dati di mercato esterni forniti da </w:t>
      </w:r>
      <w:proofErr w:type="spellStart"/>
      <w:r w:rsidRPr="00A8357C">
        <w:rPr>
          <w:rFonts w:ascii="Arial" w:hAnsi="Arial" w:cs="Arial"/>
        </w:rPr>
        <w:t>Casafari</w:t>
      </w:r>
      <w:proofErr w:type="spellEnd"/>
      <w:r w:rsidRPr="00A8357C">
        <w:rPr>
          <w:rFonts w:ascii="Arial" w:hAnsi="Arial" w:cs="Arial"/>
        </w:rPr>
        <w:t xml:space="preserve">, la piattaforma di </w:t>
      </w:r>
      <w:proofErr w:type="spellStart"/>
      <w:r w:rsidRPr="00A8357C">
        <w:rPr>
          <w:rFonts w:ascii="Arial" w:hAnsi="Arial" w:cs="Arial"/>
        </w:rPr>
        <w:t>metaricerca</w:t>
      </w:r>
      <w:proofErr w:type="spellEnd"/>
      <w:r w:rsidRPr="00A8357C">
        <w:rPr>
          <w:rFonts w:ascii="Arial" w:hAnsi="Arial" w:cs="Arial"/>
        </w:rPr>
        <w:t xml:space="preserve"> per il settore immobiliare basata sull'intelligenza artificiale e sull'apprendimento automatico che traccia, aggrega e centralizza tutte le informazioni disponibili online sulle proprietà immobiliari in Portogallo, Spagna, Italia, Francia e Germania. </w:t>
      </w:r>
    </w:p>
    <w:p w14:paraId="091B8384" w14:textId="77777777" w:rsidR="00A8357C" w:rsidRPr="00B8517D" w:rsidRDefault="00A8357C" w:rsidP="00A8357C"/>
    <w:p w14:paraId="6F86C397" w14:textId="67CD807F" w:rsidR="007B4F07" w:rsidRDefault="007B4F07" w:rsidP="002D6FC1">
      <w:pPr>
        <w:jc w:val="both"/>
        <w:rPr>
          <w:rFonts w:ascii="Arial" w:hAnsi="Arial" w:cs="Arial"/>
        </w:rPr>
      </w:pPr>
    </w:p>
    <w:p w14:paraId="0F631947" w14:textId="77777777" w:rsidR="005373D3" w:rsidRDefault="00DE54BB" w:rsidP="005373D3">
      <w:pPr>
        <w:rPr>
          <w:rFonts w:ascii="Arial" w:eastAsia="Arial" w:hAnsi="Arial" w:cs="Arial"/>
          <w:b/>
          <w:color w:val="004A99"/>
        </w:rPr>
      </w:pPr>
      <w:r w:rsidRPr="00CB19A4">
        <w:rPr>
          <w:rFonts w:ascii="Arial" w:eastAsia="Arial" w:hAnsi="Arial" w:cs="Arial"/>
          <w:b/>
          <w:color w:val="004A99"/>
        </w:rPr>
        <w:t>COMPANY</w:t>
      </w:r>
      <w:r w:rsidRPr="00CB19A4">
        <w:rPr>
          <w:rFonts w:ascii="Arial" w:hAnsi="Arial" w:cs="Arial"/>
          <w:b/>
        </w:rPr>
        <w:t xml:space="preserve"> </w:t>
      </w:r>
      <w:r w:rsidRPr="00CB19A4">
        <w:rPr>
          <w:rFonts w:ascii="Arial" w:eastAsia="Arial" w:hAnsi="Arial" w:cs="Arial"/>
          <w:b/>
          <w:color w:val="004A99"/>
        </w:rPr>
        <w:t xml:space="preserve">PROFILE RE/MAX ITALIA </w:t>
      </w:r>
      <w:r w:rsidR="003F1B1C" w:rsidRPr="00CB19A4">
        <w:rPr>
          <w:rFonts w:ascii="Arial" w:eastAsia="Arial" w:hAnsi="Arial" w:cs="Arial"/>
          <w:b/>
          <w:color w:val="004A99"/>
        </w:rPr>
        <w:t>– remax.it</w:t>
      </w:r>
    </w:p>
    <w:p w14:paraId="54040E25" w14:textId="17F43A09" w:rsidR="0056632E" w:rsidRDefault="0056632E" w:rsidP="001D4B79">
      <w:pPr>
        <w:jc w:val="both"/>
        <w:rPr>
          <w:rFonts w:ascii="Arial" w:hAnsi="Arial" w:cs="Arial"/>
          <w:sz w:val="20"/>
          <w:szCs w:val="20"/>
        </w:rPr>
      </w:pPr>
      <w:r w:rsidRPr="0056632E">
        <w:rPr>
          <w:rFonts w:ascii="Arial" w:hAnsi="Arial" w:cs="Arial"/>
          <w:sz w:val="20"/>
          <w:szCs w:val="20"/>
        </w:rPr>
        <w:t xml:space="preserve">Fondata in USA nel 1973 da </w:t>
      </w:r>
      <w:proofErr w:type="spellStart"/>
      <w:r w:rsidRPr="0056632E">
        <w:rPr>
          <w:rFonts w:ascii="Arial" w:hAnsi="Arial" w:cs="Arial"/>
          <w:sz w:val="20"/>
          <w:szCs w:val="20"/>
        </w:rPr>
        <w:t>Dave</w:t>
      </w:r>
      <w:proofErr w:type="spellEnd"/>
      <w:r w:rsidRPr="0056632E">
        <w:rPr>
          <w:rFonts w:ascii="Arial" w:hAnsi="Arial" w:cs="Arial"/>
          <w:sz w:val="20"/>
          <w:szCs w:val="20"/>
        </w:rPr>
        <w:t xml:space="preserve"> e </w:t>
      </w:r>
      <w:proofErr w:type="spellStart"/>
      <w:r w:rsidRPr="0056632E">
        <w:rPr>
          <w:rFonts w:ascii="Arial" w:hAnsi="Arial" w:cs="Arial"/>
          <w:sz w:val="20"/>
          <w:szCs w:val="20"/>
        </w:rPr>
        <w:t>Gail</w:t>
      </w:r>
      <w:proofErr w:type="spellEnd"/>
      <w:r w:rsidRPr="0056632E">
        <w:rPr>
          <w:rFonts w:ascii="Arial" w:hAnsi="Arial" w:cs="Arial"/>
          <w:sz w:val="20"/>
          <w:szCs w:val="20"/>
        </w:rPr>
        <w:t xml:space="preserve"> </w:t>
      </w:r>
      <w:proofErr w:type="spellStart"/>
      <w:r w:rsidRPr="0056632E">
        <w:rPr>
          <w:rFonts w:ascii="Arial" w:hAnsi="Arial" w:cs="Arial"/>
          <w:sz w:val="20"/>
          <w:szCs w:val="20"/>
        </w:rPr>
        <w:t>Liniger</w:t>
      </w:r>
      <w:proofErr w:type="spellEnd"/>
      <w:r w:rsidRPr="0056632E">
        <w:rPr>
          <w:rFonts w:ascii="Arial" w:hAnsi="Arial" w:cs="Arial"/>
          <w:sz w:val="20"/>
          <w:szCs w:val="20"/>
        </w:rPr>
        <w:t>,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42816B22" w14:textId="0BC30784" w:rsidR="0056632E" w:rsidRPr="0056632E" w:rsidRDefault="0056632E" w:rsidP="001D4B79">
      <w:pPr>
        <w:keepNext/>
        <w:keepLines/>
        <w:pBdr>
          <w:top w:val="nil"/>
          <w:left w:val="nil"/>
          <w:bottom w:val="nil"/>
          <w:right w:val="nil"/>
          <w:between w:val="nil"/>
        </w:pBdr>
        <w:jc w:val="both"/>
        <w:rPr>
          <w:rFonts w:ascii="Arial" w:hAnsi="Arial" w:cs="Arial"/>
          <w:sz w:val="20"/>
          <w:szCs w:val="20"/>
        </w:rPr>
      </w:pPr>
      <w:r w:rsidRPr="0056632E">
        <w:rPr>
          <w:rFonts w:ascii="Arial" w:hAnsi="Arial" w:cs="Arial"/>
          <w:sz w:val="20"/>
          <w:szCs w:val="20"/>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79F7DD2D" w14:textId="36F65CE3" w:rsidR="0056632E" w:rsidRDefault="0056632E" w:rsidP="001D4B79">
      <w:pPr>
        <w:keepNext/>
        <w:keepLines/>
        <w:pBdr>
          <w:top w:val="nil"/>
          <w:left w:val="nil"/>
          <w:bottom w:val="nil"/>
          <w:right w:val="nil"/>
          <w:between w:val="nil"/>
        </w:pBdr>
        <w:spacing w:after="240"/>
        <w:jc w:val="both"/>
        <w:rPr>
          <w:rFonts w:ascii="Arial" w:hAnsi="Arial" w:cs="Arial"/>
          <w:sz w:val="20"/>
          <w:szCs w:val="20"/>
        </w:rPr>
      </w:pPr>
      <w:r w:rsidRPr="0056632E">
        <w:rPr>
          <w:rFonts w:ascii="Arial" w:hAnsi="Arial" w:cs="Arial"/>
          <w:sz w:val="20"/>
          <w:szCs w:val="20"/>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customer </w:t>
      </w:r>
      <w:proofErr w:type="spellStart"/>
      <w:r w:rsidRPr="0056632E">
        <w:rPr>
          <w:rFonts w:ascii="Arial" w:hAnsi="Arial" w:cs="Arial"/>
          <w:sz w:val="20"/>
          <w:szCs w:val="20"/>
        </w:rPr>
        <w:t>experience</w:t>
      </w:r>
      <w:proofErr w:type="spellEnd"/>
      <w:r w:rsidRPr="0056632E">
        <w:rPr>
          <w:rFonts w:ascii="Arial" w:hAnsi="Arial" w:cs="Arial"/>
          <w:sz w:val="20"/>
          <w:szCs w:val="20"/>
        </w:rPr>
        <w:t xml:space="preserve"> più confortevole e più soddisfacente in termini economici. </w:t>
      </w:r>
    </w:p>
    <w:p w14:paraId="1CFB0E84" w14:textId="77777777" w:rsidR="00DE54BB" w:rsidRPr="00CB19A4" w:rsidRDefault="00DE54BB" w:rsidP="001D4B79">
      <w:pPr>
        <w:keepNext/>
        <w:keepLines/>
        <w:pBdr>
          <w:top w:val="nil"/>
          <w:left w:val="nil"/>
          <w:bottom w:val="nil"/>
          <w:right w:val="nil"/>
          <w:between w:val="nil"/>
        </w:pBdr>
        <w:spacing w:before="400"/>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srl - Ufficio stampa RE/MAX Italia </w:t>
      </w:r>
    </w:p>
    <w:p w14:paraId="6668916D" w14:textId="77777777" w:rsidR="00DE54BB" w:rsidRPr="00CB19A4" w:rsidRDefault="00DE54BB" w:rsidP="00DE54BB">
      <w:pPr>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6C6290" w:rsidP="00DE54BB">
      <w:pPr>
        <w:rPr>
          <w:rFonts w:ascii="Arial" w:hAnsi="Arial" w:cs="Arial"/>
          <w:color w:val="000000"/>
        </w:rPr>
      </w:pPr>
      <w:hyperlink r:id="rId8"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185EF23E" w14:textId="77777777" w:rsidR="00DE54BB" w:rsidRPr="00CB19A4" w:rsidRDefault="00DE54BB" w:rsidP="00DE54BB">
      <w:pPr>
        <w:rPr>
          <w:rFonts w:ascii="Arial" w:hAnsi="Arial" w:cs="Arial"/>
          <w:color w:val="000000"/>
        </w:rPr>
      </w:pPr>
      <w:r w:rsidRPr="00CB19A4">
        <w:rPr>
          <w:rFonts w:ascii="Arial" w:hAnsi="Arial" w:cs="Arial"/>
          <w:color w:val="000000"/>
        </w:rPr>
        <w:t>T. 02 89077160 – M. 340 1044227</w:t>
      </w:r>
    </w:p>
    <w:p w14:paraId="0D8002C1" w14:textId="77777777" w:rsidR="00DE54BB" w:rsidRPr="00CB19A4" w:rsidRDefault="00DE54BB" w:rsidP="00DE54BB">
      <w:pPr>
        <w:pStyle w:val="Default"/>
        <w:spacing w:after="240"/>
        <w:rPr>
          <w:rFonts w:ascii="Arial" w:hAnsi="Arial" w:cs="Arial"/>
          <w:b/>
          <w:sz w:val="22"/>
          <w:szCs w:val="22"/>
          <w:highlight w:val="yellow"/>
        </w:rPr>
      </w:pPr>
    </w:p>
    <w:p w14:paraId="02F64B82" w14:textId="77777777" w:rsidR="00DE54BB" w:rsidRPr="003F1B1C" w:rsidRDefault="00DE54BB" w:rsidP="00DE54BB">
      <w:pPr>
        <w:jc w:val="both"/>
        <w:rPr>
          <w:rFonts w:ascii="Arial" w:hAnsi="Arial" w:cs="Arial"/>
          <w:sz w:val="20"/>
          <w:szCs w:val="20"/>
        </w:rPr>
      </w:pPr>
    </w:p>
    <w:p w14:paraId="7D4D6FA7" w14:textId="77777777" w:rsidR="00CD28D7" w:rsidRPr="003F1B1C" w:rsidRDefault="00CD28D7" w:rsidP="00AD5743">
      <w:pPr>
        <w:pStyle w:val="NormaleWeb"/>
        <w:shd w:val="clear" w:color="auto" w:fill="FFFFFF"/>
        <w:spacing w:after="0" w:line="276" w:lineRule="auto"/>
        <w:jc w:val="both"/>
        <w:rPr>
          <w:rFonts w:ascii="Arial" w:hAnsi="Arial" w:cs="Arial"/>
          <w:b/>
          <w:sz w:val="20"/>
          <w:szCs w:val="20"/>
        </w:rPr>
      </w:pPr>
    </w:p>
    <w:sectPr w:rsidR="00CD28D7" w:rsidRPr="003F1B1C" w:rsidSect="005373D3">
      <w:headerReference w:type="default" r:id="rId9"/>
      <w:footerReference w:type="default" r:id="rId10"/>
      <w:pgSz w:w="11906" w:h="16838"/>
      <w:pgMar w:top="1791" w:right="1134"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56859" w14:textId="77777777" w:rsidR="002C5C96" w:rsidRDefault="002C5C96" w:rsidP="008C0871">
      <w:pPr>
        <w:spacing w:line="240" w:lineRule="auto"/>
      </w:pPr>
      <w:r>
        <w:separator/>
      </w:r>
    </w:p>
  </w:endnote>
  <w:endnote w:type="continuationSeparator" w:id="0">
    <w:p w14:paraId="75013F53" w14:textId="77777777" w:rsidR="002C5C96" w:rsidRDefault="002C5C96"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08925B3D"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720DD2">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720DD2">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C3F77" w14:textId="77777777" w:rsidR="002C5C96" w:rsidRDefault="002C5C96" w:rsidP="008C0871">
      <w:pPr>
        <w:spacing w:line="240" w:lineRule="auto"/>
      </w:pPr>
      <w:r>
        <w:separator/>
      </w:r>
    </w:p>
  </w:footnote>
  <w:footnote w:type="continuationSeparator" w:id="0">
    <w:p w14:paraId="270BE118" w14:textId="77777777" w:rsidR="002C5C96" w:rsidRDefault="002C5C96"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0BFE" w14:textId="58442DDD" w:rsidR="003F1B1C" w:rsidRPr="00CE3DAC" w:rsidRDefault="003F1B1C" w:rsidP="003F1B1C">
    <w:pPr>
      <w:pBdr>
        <w:top w:val="nil"/>
        <w:left w:val="nil"/>
        <w:bottom w:val="nil"/>
        <w:right w:val="nil"/>
        <w:between w:val="nil"/>
      </w:pBdr>
      <w:tabs>
        <w:tab w:val="center" w:pos="4536"/>
        <w:tab w:val="right" w:pos="9356"/>
      </w:tabs>
      <w:rPr>
        <w:b/>
        <w:smallCaps/>
        <w:color w:val="003DA5"/>
      </w:rPr>
    </w:pPr>
    <w:r w:rsidRPr="00CE3DAC">
      <w:rPr>
        <w:b/>
        <w:smallCaps/>
        <w:noProof/>
        <w:color w:val="003DA5"/>
        <w:lang w:eastAsia="it-IT"/>
      </w:rPr>
      <w:drawing>
        <wp:anchor distT="0" distB="0" distL="0" distR="0" simplePos="0" relativeHeight="251659264" behindDoc="1" locked="0" layoutInCell="1" hidden="0" allowOverlap="1" wp14:anchorId="631C641D" wp14:editId="04661012">
          <wp:simplePos x="0" y="0"/>
          <wp:positionH relativeFrom="page">
            <wp:posOffset>5661863</wp:posOffset>
          </wp:positionH>
          <wp:positionV relativeFrom="page">
            <wp:posOffset>336364</wp:posOffset>
          </wp:positionV>
          <wp:extent cx="1189910" cy="1397203"/>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9910" cy="1397203"/>
                  </a:xfrm>
                  <a:prstGeom prst="rect">
                    <a:avLst/>
                  </a:prstGeom>
                  <a:ln/>
                </pic:spPr>
              </pic:pic>
            </a:graphicData>
          </a:graphic>
          <wp14:sizeRelH relativeFrom="margin">
            <wp14:pctWidth>0</wp14:pctWidth>
          </wp14:sizeRelH>
          <wp14:sizeRelV relativeFrom="margin">
            <wp14:pctHeight>0</wp14:pctHeight>
          </wp14:sizeRelV>
        </wp:anchor>
      </w:drawing>
    </w:r>
    <w:r w:rsidRPr="00CE3DAC">
      <w:rPr>
        <w:b/>
        <w:smallCaps/>
        <w:color w:val="003DA5"/>
      </w:rPr>
      <w:t xml:space="preserve">Milano, </w:t>
    </w:r>
    <w:r w:rsidR="00150B32">
      <w:rPr>
        <w:b/>
        <w:smallCaps/>
        <w:color w:val="003DA5"/>
      </w:rPr>
      <w:t>19</w:t>
    </w:r>
    <w:r w:rsidR="001D4B79">
      <w:rPr>
        <w:b/>
        <w:smallCaps/>
        <w:color w:val="003DA5"/>
      </w:rPr>
      <w:t xml:space="preserve"> luglio</w:t>
    </w:r>
    <w:r w:rsidRPr="00CE3DAC">
      <w:rPr>
        <w:b/>
        <w:smallCaps/>
        <w:color w:val="003DA5"/>
      </w:rPr>
      <w:t xml:space="preserve"> 202</w:t>
    </w:r>
    <w:r w:rsidR="0056632E">
      <w:rPr>
        <w:b/>
        <w:smallCaps/>
        <w:color w:val="003DA5"/>
      </w:rPr>
      <w:t>3</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5C4077EA" w:rsidR="003F1B1C" w:rsidRPr="004A4050" w:rsidRDefault="001D4B79" w:rsidP="003F1B1C">
    <w:pPr>
      <w:pBdr>
        <w:top w:val="nil"/>
        <w:left w:val="nil"/>
        <w:bottom w:val="nil"/>
        <w:right w:val="nil"/>
        <w:between w:val="nil"/>
      </w:pBdr>
      <w:spacing w:line="204" w:lineRule="auto"/>
      <w:ind w:right="1418"/>
      <w:rPr>
        <w:rFonts w:ascii="Arial" w:eastAsia="Arial" w:hAnsi="Arial" w:cs="Arial"/>
        <w:b/>
        <w:color w:val="003DA5"/>
        <w:sz w:val="52"/>
        <w:szCs w:val="52"/>
      </w:rPr>
    </w:pPr>
    <w:bookmarkStart w:id="1" w:name="_Hlk117672187"/>
    <w:r>
      <w:rPr>
        <w:rFonts w:ascii="Arial" w:eastAsia="Arial" w:hAnsi="Arial" w:cs="Arial"/>
        <w:b/>
        <w:color w:val="003DA5"/>
        <w:sz w:val="52"/>
        <w:szCs w:val="52"/>
      </w:rPr>
      <w:t xml:space="preserve">Comunicato </w:t>
    </w:r>
  </w:p>
  <w:p w14:paraId="56DFCF31" w14:textId="7A72B26F" w:rsidR="003F1B1C" w:rsidRPr="004A4050" w:rsidRDefault="001D4B79" w:rsidP="003F1B1C">
    <w:pPr>
      <w:pBdr>
        <w:top w:val="nil"/>
        <w:left w:val="nil"/>
        <w:bottom w:val="nil"/>
        <w:right w:val="nil"/>
        <w:between w:val="nil"/>
      </w:pBdr>
      <w:spacing w:after="680" w:line="204" w:lineRule="auto"/>
      <w:ind w:right="1418"/>
      <w:rPr>
        <w:rFonts w:ascii="Arial" w:eastAsia="Arial" w:hAnsi="Arial" w:cs="Arial"/>
        <w:b/>
        <w:color w:val="DC1C2E"/>
        <w:sz w:val="52"/>
        <w:szCs w:val="52"/>
      </w:rPr>
    </w:pPr>
    <w:r>
      <w:rPr>
        <w:rFonts w:ascii="Arial" w:eastAsia="Arial" w:hAnsi="Arial" w:cs="Arial"/>
        <w:b/>
        <w:color w:val="DC1C2E"/>
        <w:sz w:val="52"/>
        <w:szCs w:val="52"/>
      </w:rPr>
      <w:t>Stampa</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E36E4B"/>
    <w:multiLevelType w:val="hybridMultilevel"/>
    <w:tmpl w:val="E4820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FB9"/>
    <w:rsid w:val="000110A5"/>
    <w:rsid w:val="000174F9"/>
    <w:rsid w:val="00022C51"/>
    <w:rsid w:val="00037669"/>
    <w:rsid w:val="000450ED"/>
    <w:rsid w:val="00051142"/>
    <w:rsid w:val="0006410E"/>
    <w:rsid w:val="000778B5"/>
    <w:rsid w:val="000904BF"/>
    <w:rsid w:val="00093B9D"/>
    <w:rsid w:val="000A023A"/>
    <w:rsid w:val="000A1491"/>
    <w:rsid w:val="000A2936"/>
    <w:rsid w:val="000B52A5"/>
    <w:rsid w:val="000D106B"/>
    <w:rsid w:val="000E6D4F"/>
    <w:rsid w:val="00113828"/>
    <w:rsid w:val="00113CB6"/>
    <w:rsid w:val="00117ABE"/>
    <w:rsid w:val="0014305D"/>
    <w:rsid w:val="001446C5"/>
    <w:rsid w:val="00145273"/>
    <w:rsid w:val="00150B32"/>
    <w:rsid w:val="00151266"/>
    <w:rsid w:val="001554F4"/>
    <w:rsid w:val="00164E8A"/>
    <w:rsid w:val="001739A8"/>
    <w:rsid w:val="00174EC7"/>
    <w:rsid w:val="001873BD"/>
    <w:rsid w:val="00195A23"/>
    <w:rsid w:val="00195FC7"/>
    <w:rsid w:val="001968CB"/>
    <w:rsid w:val="001C2163"/>
    <w:rsid w:val="001C2764"/>
    <w:rsid w:val="001D1832"/>
    <w:rsid w:val="001D4AD2"/>
    <w:rsid w:val="001D4B79"/>
    <w:rsid w:val="001E0F6B"/>
    <w:rsid w:val="001E47D2"/>
    <w:rsid w:val="001F2A61"/>
    <w:rsid w:val="001F4F98"/>
    <w:rsid w:val="00200C63"/>
    <w:rsid w:val="0020231F"/>
    <w:rsid w:val="00212254"/>
    <w:rsid w:val="00217E3E"/>
    <w:rsid w:val="00220CF4"/>
    <w:rsid w:val="00231CC2"/>
    <w:rsid w:val="002336CB"/>
    <w:rsid w:val="00235FAE"/>
    <w:rsid w:val="002438C9"/>
    <w:rsid w:val="00244EBD"/>
    <w:rsid w:val="0025095A"/>
    <w:rsid w:val="00250DD5"/>
    <w:rsid w:val="0026132C"/>
    <w:rsid w:val="0027600D"/>
    <w:rsid w:val="002833D6"/>
    <w:rsid w:val="0028703E"/>
    <w:rsid w:val="00292E75"/>
    <w:rsid w:val="00295418"/>
    <w:rsid w:val="002A38F8"/>
    <w:rsid w:val="002A4C87"/>
    <w:rsid w:val="002C546C"/>
    <w:rsid w:val="002C5C96"/>
    <w:rsid w:val="002D6FC1"/>
    <w:rsid w:val="003044E0"/>
    <w:rsid w:val="00313B70"/>
    <w:rsid w:val="00314C95"/>
    <w:rsid w:val="00316A0D"/>
    <w:rsid w:val="003227E1"/>
    <w:rsid w:val="00323329"/>
    <w:rsid w:val="00327BAE"/>
    <w:rsid w:val="003300CC"/>
    <w:rsid w:val="00332840"/>
    <w:rsid w:val="003424DE"/>
    <w:rsid w:val="00343CBE"/>
    <w:rsid w:val="003478A9"/>
    <w:rsid w:val="00377CB1"/>
    <w:rsid w:val="00393BF1"/>
    <w:rsid w:val="003959D9"/>
    <w:rsid w:val="00396AD2"/>
    <w:rsid w:val="003C36AE"/>
    <w:rsid w:val="003E3109"/>
    <w:rsid w:val="003E3932"/>
    <w:rsid w:val="003E39B2"/>
    <w:rsid w:val="003F1B1C"/>
    <w:rsid w:val="003F29EF"/>
    <w:rsid w:val="004105D6"/>
    <w:rsid w:val="00415511"/>
    <w:rsid w:val="00424909"/>
    <w:rsid w:val="0043381B"/>
    <w:rsid w:val="004616AF"/>
    <w:rsid w:val="00463AF6"/>
    <w:rsid w:val="004644FB"/>
    <w:rsid w:val="00464B0F"/>
    <w:rsid w:val="00472533"/>
    <w:rsid w:val="00482622"/>
    <w:rsid w:val="0048568D"/>
    <w:rsid w:val="004A0420"/>
    <w:rsid w:val="004A4050"/>
    <w:rsid w:val="004A757F"/>
    <w:rsid w:val="004B019E"/>
    <w:rsid w:val="004D0159"/>
    <w:rsid w:val="00500E93"/>
    <w:rsid w:val="00513E07"/>
    <w:rsid w:val="005245C7"/>
    <w:rsid w:val="005373D3"/>
    <w:rsid w:val="00543AD6"/>
    <w:rsid w:val="00544048"/>
    <w:rsid w:val="00552CEF"/>
    <w:rsid w:val="00554DF4"/>
    <w:rsid w:val="005551CF"/>
    <w:rsid w:val="00563401"/>
    <w:rsid w:val="0056632E"/>
    <w:rsid w:val="0058530E"/>
    <w:rsid w:val="00595D68"/>
    <w:rsid w:val="005A3B39"/>
    <w:rsid w:val="005A797C"/>
    <w:rsid w:val="005C49D1"/>
    <w:rsid w:val="005D2308"/>
    <w:rsid w:val="005D38B7"/>
    <w:rsid w:val="005F5C9C"/>
    <w:rsid w:val="00600895"/>
    <w:rsid w:val="0060112E"/>
    <w:rsid w:val="00602591"/>
    <w:rsid w:val="00603F74"/>
    <w:rsid w:val="006067AD"/>
    <w:rsid w:val="00606B73"/>
    <w:rsid w:val="00607101"/>
    <w:rsid w:val="00614DF1"/>
    <w:rsid w:val="0062306A"/>
    <w:rsid w:val="006269FF"/>
    <w:rsid w:val="006369D5"/>
    <w:rsid w:val="00647F52"/>
    <w:rsid w:val="0067143D"/>
    <w:rsid w:val="00672349"/>
    <w:rsid w:val="00672EDA"/>
    <w:rsid w:val="00682900"/>
    <w:rsid w:val="0068622D"/>
    <w:rsid w:val="006934F8"/>
    <w:rsid w:val="00696BBB"/>
    <w:rsid w:val="0069742A"/>
    <w:rsid w:val="006C6290"/>
    <w:rsid w:val="006C66C3"/>
    <w:rsid w:val="006D2698"/>
    <w:rsid w:val="006E0A97"/>
    <w:rsid w:val="006F70A2"/>
    <w:rsid w:val="007169AE"/>
    <w:rsid w:val="0072053C"/>
    <w:rsid w:val="00720DD2"/>
    <w:rsid w:val="00727B77"/>
    <w:rsid w:val="00731D30"/>
    <w:rsid w:val="00744FB6"/>
    <w:rsid w:val="0074602C"/>
    <w:rsid w:val="00747064"/>
    <w:rsid w:val="007570A0"/>
    <w:rsid w:val="0078027F"/>
    <w:rsid w:val="007921D7"/>
    <w:rsid w:val="007A4A3B"/>
    <w:rsid w:val="007B4F07"/>
    <w:rsid w:val="007C1C15"/>
    <w:rsid w:val="007C53A3"/>
    <w:rsid w:val="007C5BFF"/>
    <w:rsid w:val="007D0ECF"/>
    <w:rsid w:val="007D51E4"/>
    <w:rsid w:val="007E4C4C"/>
    <w:rsid w:val="007F030B"/>
    <w:rsid w:val="008252A5"/>
    <w:rsid w:val="008255F7"/>
    <w:rsid w:val="00836984"/>
    <w:rsid w:val="0084093E"/>
    <w:rsid w:val="00841C26"/>
    <w:rsid w:val="00854A18"/>
    <w:rsid w:val="00856E7F"/>
    <w:rsid w:val="0088447C"/>
    <w:rsid w:val="00885375"/>
    <w:rsid w:val="00890F17"/>
    <w:rsid w:val="008920B2"/>
    <w:rsid w:val="008A4FB9"/>
    <w:rsid w:val="008A6549"/>
    <w:rsid w:val="008A759C"/>
    <w:rsid w:val="008B7395"/>
    <w:rsid w:val="008C0871"/>
    <w:rsid w:val="008E03E5"/>
    <w:rsid w:val="008E6C57"/>
    <w:rsid w:val="008E7992"/>
    <w:rsid w:val="008F1650"/>
    <w:rsid w:val="008F1902"/>
    <w:rsid w:val="008F5897"/>
    <w:rsid w:val="008F70B7"/>
    <w:rsid w:val="009003E9"/>
    <w:rsid w:val="00902AD9"/>
    <w:rsid w:val="00903C48"/>
    <w:rsid w:val="00903F75"/>
    <w:rsid w:val="00910EAF"/>
    <w:rsid w:val="009131C5"/>
    <w:rsid w:val="00916F83"/>
    <w:rsid w:val="00925909"/>
    <w:rsid w:val="00936478"/>
    <w:rsid w:val="00955E45"/>
    <w:rsid w:val="00983288"/>
    <w:rsid w:val="00991010"/>
    <w:rsid w:val="00991E18"/>
    <w:rsid w:val="00992AEB"/>
    <w:rsid w:val="00997615"/>
    <w:rsid w:val="009A600B"/>
    <w:rsid w:val="009C084E"/>
    <w:rsid w:val="009C7CEE"/>
    <w:rsid w:val="009D381F"/>
    <w:rsid w:val="009D49D5"/>
    <w:rsid w:val="009E0739"/>
    <w:rsid w:val="009E0920"/>
    <w:rsid w:val="009E2BB7"/>
    <w:rsid w:val="00A00598"/>
    <w:rsid w:val="00A20F97"/>
    <w:rsid w:val="00A264E5"/>
    <w:rsid w:val="00A272DA"/>
    <w:rsid w:val="00A2797A"/>
    <w:rsid w:val="00A30103"/>
    <w:rsid w:val="00A30E42"/>
    <w:rsid w:val="00A67615"/>
    <w:rsid w:val="00A701E7"/>
    <w:rsid w:val="00A71675"/>
    <w:rsid w:val="00A832D9"/>
    <w:rsid w:val="00A8357C"/>
    <w:rsid w:val="00A87922"/>
    <w:rsid w:val="00AA1648"/>
    <w:rsid w:val="00AC3AE2"/>
    <w:rsid w:val="00AC6851"/>
    <w:rsid w:val="00AD5743"/>
    <w:rsid w:val="00AE0588"/>
    <w:rsid w:val="00AF113F"/>
    <w:rsid w:val="00B05A22"/>
    <w:rsid w:val="00B16E0B"/>
    <w:rsid w:val="00B254AD"/>
    <w:rsid w:val="00B30A53"/>
    <w:rsid w:val="00B349B6"/>
    <w:rsid w:val="00B35A34"/>
    <w:rsid w:val="00B426BE"/>
    <w:rsid w:val="00B4407C"/>
    <w:rsid w:val="00B54EF7"/>
    <w:rsid w:val="00B60610"/>
    <w:rsid w:val="00B65C37"/>
    <w:rsid w:val="00B71DF8"/>
    <w:rsid w:val="00B72E7F"/>
    <w:rsid w:val="00B84997"/>
    <w:rsid w:val="00BC1D53"/>
    <w:rsid w:val="00BC7466"/>
    <w:rsid w:val="00BD276D"/>
    <w:rsid w:val="00BD5C42"/>
    <w:rsid w:val="00BD5F95"/>
    <w:rsid w:val="00BE54AC"/>
    <w:rsid w:val="00C01B11"/>
    <w:rsid w:val="00C02445"/>
    <w:rsid w:val="00C04ED0"/>
    <w:rsid w:val="00C20372"/>
    <w:rsid w:val="00C242B4"/>
    <w:rsid w:val="00C40CB4"/>
    <w:rsid w:val="00C448E6"/>
    <w:rsid w:val="00C45F1D"/>
    <w:rsid w:val="00C67DE0"/>
    <w:rsid w:val="00C76C1B"/>
    <w:rsid w:val="00C841F5"/>
    <w:rsid w:val="00C928FF"/>
    <w:rsid w:val="00C959A9"/>
    <w:rsid w:val="00CB19A4"/>
    <w:rsid w:val="00CB6E7C"/>
    <w:rsid w:val="00CD28D7"/>
    <w:rsid w:val="00CD6380"/>
    <w:rsid w:val="00CE0A91"/>
    <w:rsid w:val="00CE1059"/>
    <w:rsid w:val="00CE1B93"/>
    <w:rsid w:val="00CE1F75"/>
    <w:rsid w:val="00CE7495"/>
    <w:rsid w:val="00D11F9C"/>
    <w:rsid w:val="00D26108"/>
    <w:rsid w:val="00D261FC"/>
    <w:rsid w:val="00D3344E"/>
    <w:rsid w:val="00D37947"/>
    <w:rsid w:val="00D431B5"/>
    <w:rsid w:val="00D50164"/>
    <w:rsid w:val="00D50C9E"/>
    <w:rsid w:val="00D5759F"/>
    <w:rsid w:val="00D63EB5"/>
    <w:rsid w:val="00D66483"/>
    <w:rsid w:val="00D67BF4"/>
    <w:rsid w:val="00D720CE"/>
    <w:rsid w:val="00D878C6"/>
    <w:rsid w:val="00DB402F"/>
    <w:rsid w:val="00DC557C"/>
    <w:rsid w:val="00DD0EC4"/>
    <w:rsid w:val="00DD4F21"/>
    <w:rsid w:val="00DE54BB"/>
    <w:rsid w:val="00DF2BCD"/>
    <w:rsid w:val="00DF3252"/>
    <w:rsid w:val="00E247EC"/>
    <w:rsid w:val="00E36A12"/>
    <w:rsid w:val="00E44A76"/>
    <w:rsid w:val="00E45D74"/>
    <w:rsid w:val="00E473DD"/>
    <w:rsid w:val="00E51B5E"/>
    <w:rsid w:val="00E60428"/>
    <w:rsid w:val="00E619B0"/>
    <w:rsid w:val="00E712CE"/>
    <w:rsid w:val="00E8305F"/>
    <w:rsid w:val="00EA5E8B"/>
    <w:rsid w:val="00EC484D"/>
    <w:rsid w:val="00ED1A5A"/>
    <w:rsid w:val="00EE062E"/>
    <w:rsid w:val="00F0407F"/>
    <w:rsid w:val="00F5401A"/>
    <w:rsid w:val="00F564BD"/>
    <w:rsid w:val="00F56DC1"/>
    <w:rsid w:val="00F6182E"/>
    <w:rsid w:val="00F67482"/>
    <w:rsid w:val="00F73B31"/>
    <w:rsid w:val="00F82888"/>
    <w:rsid w:val="00F8583F"/>
    <w:rsid w:val="00F86FC1"/>
    <w:rsid w:val="00F92E23"/>
    <w:rsid w:val="00F97A92"/>
    <w:rsid w:val="00FA657B"/>
    <w:rsid w:val="00FB411E"/>
    <w:rsid w:val="00FE7D5A"/>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D3DCD0A8-BAF2-4BAD-A217-8BCA3B74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4DE"/>
  </w:style>
  <w:style w:type="paragraph" w:styleId="Titolo1">
    <w:name w:val="heading 1"/>
    <w:basedOn w:val="Normale"/>
    <w:next w:val="Normale"/>
    <w:link w:val="Titolo1Carattere"/>
    <w:uiPriority w:val="9"/>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Menzionenonrisolta2">
    <w:name w:val="Menzione non risolta2"/>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778111698">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 w:id="152667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inkommunication.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78F9-C277-4C9E-AC94-CB1E31E0E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Pages>
  <Words>909</Words>
  <Characters>5187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laura_000</dc:creator>
  <cp:lastModifiedBy>Laura Premoli</cp:lastModifiedBy>
  <cp:revision>40</cp:revision>
  <dcterms:created xsi:type="dcterms:W3CDTF">2023-04-28T15:11:00Z</dcterms:created>
  <dcterms:modified xsi:type="dcterms:W3CDTF">2023-07-19T09:15:00Z</dcterms:modified>
</cp:coreProperties>
</file>